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E68B" w14:textId="7193D96B" w:rsidR="002919C7" w:rsidRPr="00137DDB" w:rsidRDefault="00C54622" w:rsidP="007F423E">
      <w:pPr>
        <w:ind w:right="537"/>
        <w:jc w:val="right"/>
        <w:rPr>
          <w:rFonts w:ascii="Calibri" w:eastAsia="Calibri" w:hAnsi="Calibri" w:cs="Calibri"/>
          <w:sz w:val="22"/>
          <w:szCs w:val="22"/>
        </w:rPr>
      </w:pPr>
      <w:r>
        <w:rPr>
          <w:rFonts w:ascii="Calibri" w:eastAsia="Calibri" w:hAnsi="Calibri" w:cs="Calibri"/>
          <w:sz w:val="22"/>
          <w:szCs w:val="22"/>
        </w:rPr>
        <w:t xml:space="preserve">  </w:t>
      </w:r>
      <w:r w:rsidR="001743BD">
        <w:rPr>
          <w:rFonts w:ascii="Calibri" w:eastAsia="Calibri" w:hAnsi="Calibri" w:cs="Calibri"/>
          <w:sz w:val="22"/>
          <w:szCs w:val="22"/>
        </w:rPr>
        <w:t xml:space="preserve"> </w:t>
      </w:r>
      <w:r w:rsidR="002919C7" w:rsidRPr="00137DDB">
        <w:rPr>
          <w:rFonts w:ascii="Calibri" w:eastAsia="Calibri" w:hAnsi="Calibri" w:cs="Calibri"/>
          <w:sz w:val="22"/>
          <w:szCs w:val="22"/>
        </w:rPr>
        <w:t>Communiqué de presse</w:t>
      </w:r>
    </w:p>
    <w:p w14:paraId="294D6612" w14:textId="673564CB" w:rsidR="002919C7" w:rsidRPr="00137DDB" w:rsidRDefault="002919C7" w:rsidP="007F423E">
      <w:pPr>
        <w:ind w:right="537"/>
        <w:jc w:val="right"/>
        <w:rPr>
          <w:rFonts w:ascii="Calibri" w:eastAsia="Calibri" w:hAnsi="Calibri" w:cs="Calibri"/>
          <w:sz w:val="22"/>
          <w:szCs w:val="22"/>
        </w:rPr>
      </w:pPr>
      <w:r w:rsidRPr="00137DDB">
        <w:rPr>
          <w:rFonts w:ascii="Calibri" w:eastAsia="Calibri" w:hAnsi="Calibri" w:cs="Calibri"/>
          <w:sz w:val="22"/>
          <w:szCs w:val="22"/>
        </w:rPr>
        <w:t xml:space="preserve">Neuilly-sur-Seine, </w:t>
      </w:r>
      <w:r w:rsidRPr="00C76F9F">
        <w:rPr>
          <w:rFonts w:ascii="Calibri" w:eastAsia="Calibri" w:hAnsi="Calibri" w:cs="Calibri"/>
          <w:sz w:val="22"/>
          <w:szCs w:val="22"/>
          <w:highlight w:val="yellow"/>
        </w:rPr>
        <w:t>le</w:t>
      </w:r>
      <w:r w:rsidR="00E97406" w:rsidRPr="00C76F9F">
        <w:rPr>
          <w:rFonts w:ascii="Calibri" w:eastAsia="Calibri" w:hAnsi="Calibri" w:cs="Calibri"/>
          <w:sz w:val="22"/>
          <w:szCs w:val="22"/>
          <w:highlight w:val="yellow"/>
        </w:rPr>
        <w:t xml:space="preserve"> </w:t>
      </w:r>
      <w:r w:rsidR="00C76F9F" w:rsidRPr="00C76F9F">
        <w:rPr>
          <w:rFonts w:ascii="Calibri" w:eastAsia="Calibri" w:hAnsi="Calibri" w:cs="Calibri"/>
          <w:sz w:val="22"/>
          <w:szCs w:val="22"/>
          <w:highlight w:val="yellow"/>
        </w:rPr>
        <w:t>6 février</w:t>
      </w:r>
      <w:r w:rsidRPr="00C76F9F">
        <w:rPr>
          <w:rFonts w:ascii="Calibri" w:eastAsia="Calibri" w:hAnsi="Calibri" w:cs="Calibri"/>
          <w:sz w:val="22"/>
          <w:szCs w:val="22"/>
          <w:highlight w:val="yellow"/>
        </w:rPr>
        <w:t xml:space="preserve"> 202</w:t>
      </w:r>
      <w:r w:rsidR="00C76F9F" w:rsidRPr="00C76F9F">
        <w:rPr>
          <w:rFonts w:ascii="Calibri" w:eastAsia="Calibri" w:hAnsi="Calibri" w:cs="Calibri"/>
          <w:sz w:val="22"/>
          <w:szCs w:val="22"/>
          <w:highlight w:val="yellow"/>
        </w:rPr>
        <w:t>3</w:t>
      </w:r>
    </w:p>
    <w:p w14:paraId="4A75EED2" w14:textId="77777777" w:rsidR="00180E84" w:rsidRDefault="00180E84" w:rsidP="007F423E">
      <w:pPr>
        <w:ind w:right="537"/>
        <w:jc w:val="center"/>
        <w:rPr>
          <w:rFonts w:ascii="Century Gothic" w:hAnsi="Century Gothic"/>
          <w:b/>
          <w:sz w:val="32"/>
        </w:rPr>
      </w:pPr>
    </w:p>
    <w:p w14:paraId="1E60414D" w14:textId="77777777" w:rsidR="00367849" w:rsidRDefault="00367849" w:rsidP="007F423E">
      <w:pPr>
        <w:ind w:right="537"/>
        <w:jc w:val="center"/>
        <w:rPr>
          <w:rFonts w:ascii="Century Gothic" w:hAnsi="Century Gothic"/>
          <w:b/>
          <w:sz w:val="28"/>
          <w:szCs w:val="28"/>
        </w:rPr>
      </w:pPr>
    </w:p>
    <w:p w14:paraId="53970BDE" w14:textId="0B488218" w:rsidR="00367849" w:rsidRDefault="002209BA" w:rsidP="007F423E">
      <w:pPr>
        <w:ind w:right="537"/>
        <w:jc w:val="center"/>
        <w:rPr>
          <w:rFonts w:ascii="Century Gothic" w:hAnsi="Century Gothic"/>
          <w:b/>
          <w:sz w:val="28"/>
          <w:szCs w:val="28"/>
        </w:rPr>
      </w:pPr>
      <w:r>
        <w:rPr>
          <w:rFonts w:ascii="Century Gothic" w:hAnsi="Century Gothic"/>
          <w:b/>
          <w:sz w:val="28"/>
          <w:szCs w:val="28"/>
        </w:rPr>
        <w:t>Avec un taux de 2,</w:t>
      </w:r>
      <w:r w:rsidR="00A37C80">
        <w:rPr>
          <w:rFonts w:ascii="Century Gothic" w:hAnsi="Century Gothic"/>
          <w:b/>
          <w:sz w:val="28"/>
          <w:szCs w:val="28"/>
        </w:rPr>
        <w:t>50</w:t>
      </w:r>
      <w:r>
        <w:rPr>
          <w:rFonts w:ascii="Century Gothic" w:hAnsi="Century Gothic"/>
          <w:b/>
          <w:sz w:val="28"/>
          <w:szCs w:val="28"/>
        </w:rPr>
        <w:t xml:space="preserve"> %, la Carac confirme la performance de son fonds en euros </w:t>
      </w:r>
      <w:r w:rsidR="0094164A">
        <w:rPr>
          <w:rFonts w:ascii="Century Gothic" w:hAnsi="Century Gothic"/>
          <w:b/>
          <w:sz w:val="28"/>
          <w:szCs w:val="28"/>
        </w:rPr>
        <w:t>et soutient le pouvoir d’achat de ses adhérents</w:t>
      </w:r>
    </w:p>
    <w:p w14:paraId="23093C61" w14:textId="77777777" w:rsidR="0094164A" w:rsidRDefault="0094164A" w:rsidP="007F423E">
      <w:pPr>
        <w:ind w:right="537"/>
        <w:jc w:val="center"/>
        <w:rPr>
          <w:rFonts w:ascii="Century Gothic" w:hAnsi="Century Gothic"/>
          <w:b/>
          <w:sz w:val="32"/>
        </w:rPr>
      </w:pPr>
    </w:p>
    <w:p w14:paraId="52A0C971" w14:textId="77777777" w:rsidR="00E35471" w:rsidRPr="00082A4A" w:rsidRDefault="00E35471" w:rsidP="007F423E">
      <w:pPr>
        <w:ind w:right="537"/>
        <w:jc w:val="both"/>
        <w:rPr>
          <w:rFonts w:ascii="Century Gothic" w:hAnsi="Century Gothic"/>
          <w:b/>
          <w:sz w:val="10"/>
          <w:szCs w:val="10"/>
        </w:rPr>
      </w:pPr>
    </w:p>
    <w:p w14:paraId="311F8B83" w14:textId="5161B191" w:rsidR="002919C7" w:rsidRDefault="007C0A5A" w:rsidP="007F423E">
      <w:pPr>
        <w:ind w:right="537"/>
        <w:jc w:val="both"/>
        <w:rPr>
          <w:rFonts w:ascii="Century Gothic" w:hAnsi="Century Gothic" w:cs="Times New Roman (Corps CS)"/>
          <w:b/>
          <w:sz w:val="22"/>
          <w:szCs w:val="22"/>
        </w:rPr>
      </w:pPr>
      <w:r>
        <w:rPr>
          <w:rFonts w:ascii="Century Gothic" w:hAnsi="Century Gothic" w:cs="Times New Roman (Corps CS)"/>
          <w:b/>
          <w:sz w:val="22"/>
          <w:szCs w:val="22"/>
        </w:rPr>
        <w:t>La</w:t>
      </w:r>
      <w:r w:rsidR="002919C7" w:rsidRPr="00082A4A">
        <w:rPr>
          <w:rFonts w:ascii="Century Gothic" w:hAnsi="Century Gothic" w:cs="Times New Roman (Corps CS)"/>
          <w:b/>
          <w:sz w:val="22"/>
          <w:szCs w:val="22"/>
        </w:rPr>
        <w:t xml:space="preserve"> </w:t>
      </w:r>
      <w:r w:rsidR="007D106A">
        <w:rPr>
          <w:rFonts w:ascii="Century Gothic" w:hAnsi="Century Gothic" w:cs="Times New Roman (Corps CS)"/>
          <w:b/>
          <w:sz w:val="22"/>
          <w:szCs w:val="22"/>
        </w:rPr>
        <w:t xml:space="preserve">Carac, </w:t>
      </w:r>
      <w:r w:rsidR="002919C7" w:rsidRPr="00082A4A">
        <w:rPr>
          <w:rFonts w:ascii="Century Gothic" w:hAnsi="Century Gothic" w:cs="Times New Roman (Corps CS)"/>
          <w:b/>
          <w:sz w:val="22"/>
          <w:szCs w:val="22"/>
        </w:rPr>
        <w:t xml:space="preserve">mutuelle </w:t>
      </w:r>
      <w:r w:rsidR="00467391">
        <w:rPr>
          <w:rFonts w:ascii="Century Gothic" w:hAnsi="Century Gothic" w:cs="Times New Roman (Corps CS)"/>
          <w:b/>
          <w:sz w:val="22"/>
          <w:szCs w:val="22"/>
        </w:rPr>
        <w:t>d’</w:t>
      </w:r>
      <w:r w:rsidR="00082A4A">
        <w:rPr>
          <w:rFonts w:ascii="Century Gothic" w:hAnsi="Century Gothic" w:cs="Times New Roman (Corps CS)"/>
          <w:b/>
          <w:sz w:val="22"/>
          <w:szCs w:val="22"/>
        </w:rPr>
        <w:t>épargne</w:t>
      </w:r>
      <w:r w:rsidR="007D106A">
        <w:rPr>
          <w:rFonts w:ascii="Century Gothic" w:hAnsi="Century Gothic" w:cs="Times New Roman (Corps CS)"/>
          <w:b/>
          <w:sz w:val="22"/>
          <w:szCs w:val="22"/>
        </w:rPr>
        <w:t>, de retraite et de prévoyance,</w:t>
      </w:r>
      <w:r w:rsidR="00670ECD">
        <w:rPr>
          <w:rFonts w:ascii="Century Gothic" w:hAnsi="Century Gothic" w:cs="Times New Roman (Corps CS)"/>
          <w:b/>
          <w:sz w:val="22"/>
          <w:szCs w:val="22"/>
        </w:rPr>
        <w:t xml:space="preserve"> fidèle à ses valeurs mutualistes,</w:t>
      </w:r>
      <w:r w:rsidR="00082A4A" w:rsidRPr="00082A4A">
        <w:rPr>
          <w:rFonts w:ascii="Century Gothic" w:hAnsi="Century Gothic" w:cs="Times New Roman (Corps CS)"/>
          <w:b/>
          <w:sz w:val="22"/>
          <w:szCs w:val="22"/>
        </w:rPr>
        <w:t xml:space="preserve"> préserve</w:t>
      </w:r>
      <w:r w:rsidR="002919C7" w:rsidRPr="00082A4A">
        <w:rPr>
          <w:rFonts w:ascii="Century Gothic" w:hAnsi="Century Gothic" w:cs="Times New Roman (Corps CS)"/>
          <w:b/>
          <w:sz w:val="22"/>
          <w:szCs w:val="22"/>
        </w:rPr>
        <w:t xml:space="preserve"> les intérêt</w:t>
      </w:r>
      <w:r w:rsidR="006C078C">
        <w:rPr>
          <w:rFonts w:ascii="Century Gothic" w:hAnsi="Century Gothic" w:cs="Times New Roman (Corps CS)"/>
          <w:b/>
          <w:sz w:val="22"/>
          <w:szCs w:val="22"/>
        </w:rPr>
        <w:t>s</w:t>
      </w:r>
      <w:r w:rsidR="00670ECD">
        <w:rPr>
          <w:rFonts w:ascii="Century Gothic" w:hAnsi="Century Gothic" w:cs="Times New Roman (Corps CS)"/>
          <w:b/>
          <w:sz w:val="22"/>
          <w:szCs w:val="22"/>
        </w:rPr>
        <w:t xml:space="preserve"> de</w:t>
      </w:r>
      <w:r w:rsidR="00F844E6">
        <w:rPr>
          <w:rFonts w:ascii="Century Gothic" w:hAnsi="Century Gothic" w:cs="Times New Roman (Corps CS)"/>
          <w:b/>
          <w:sz w:val="22"/>
          <w:szCs w:val="22"/>
        </w:rPr>
        <w:t xml:space="preserve"> </w:t>
      </w:r>
      <w:r w:rsidR="002919C7" w:rsidRPr="00082A4A">
        <w:rPr>
          <w:rFonts w:ascii="Century Gothic" w:hAnsi="Century Gothic" w:cs="Times New Roman (Corps CS)"/>
          <w:b/>
          <w:sz w:val="22"/>
          <w:szCs w:val="22"/>
        </w:rPr>
        <w:t xml:space="preserve">ses adhérents </w:t>
      </w:r>
      <w:r w:rsidR="00467391">
        <w:rPr>
          <w:rFonts w:ascii="Century Gothic" w:hAnsi="Century Gothic" w:cs="Times New Roman (Corps CS)"/>
          <w:b/>
          <w:sz w:val="22"/>
          <w:szCs w:val="22"/>
        </w:rPr>
        <w:t>en servan</w:t>
      </w:r>
      <w:r w:rsidR="009E03A3">
        <w:rPr>
          <w:rFonts w:ascii="Century Gothic" w:hAnsi="Century Gothic" w:cs="Times New Roman (Corps CS)"/>
          <w:b/>
          <w:sz w:val="22"/>
          <w:szCs w:val="22"/>
        </w:rPr>
        <w:t xml:space="preserve">t un taux de </w:t>
      </w:r>
      <w:r w:rsidR="007165F8">
        <w:rPr>
          <w:rFonts w:ascii="Century Gothic" w:hAnsi="Century Gothic" w:cs="Times New Roman (Corps CS)"/>
          <w:b/>
          <w:sz w:val="22"/>
          <w:szCs w:val="22"/>
        </w:rPr>
        <w:t>2,50</w:t>
      </w:r>
      <w:r w:rsidR="009E03A3">
        <w:rPr>
          <w:rFonts w:ascii="Century Gothic" w:hAnsi="Century Gothic" w:cs="Times New Roman (Corps CS)"/>
          <w:b/>
          <w:sz w:val="22"/>
          <w:szCs w:val="22"/>
        </w:rPr>
        <w:t xml:space="preserve"> % sur s</w:t>
      </w:r>
      <w:r w:rsidR="000C18D9">
        <w:rPr>
          <w:rFonts w:ascii="Century Gothic" w:hAnsi="Century Gothic" w:cs="Times New Roman (Corps CS)"/>
          <w:b/>
          <w:sz w:val="22"/>
          <w:szCs w:val="22"/>
        </w:rPr>
        <w:t>es contrats</w:t>
      </w:r>
      <w:r w:rsidR="00C47B80">
        <w:rPr>
          <w:rFonts w:ascii="Century Gothic" w:hAnsi="Century Gothic" w:cs="Times New Roman (Corps CS)"/>
          <w:b/>
          <w:sz w:val="22"/>
          <w:szCs w:val="22"/>
        </w:rPr>
        <w:t xml:space="preserve"> </w:t>
      </w:r>
      <w:r w:rsidR="000E0F45">
        <w:rPr>
          <w:rFonts w:ascii="Century Gothic" w:hAnsi="Century Gothic" w:cs="Times New Roman (Corps CS)"/>
          <w:b/>
          <w:sz w:val="22"/>
          <w:szCs w:val="22"/>
        </w:rPr>
        <w:t>phares d’assurance vie</w:t>
      </w:r>
      <w:r>
        <w:rPr>
          <w:rFonts w:ascii="Century Gothic" w:hAnsi="Century Gothic" w:cs="Times New Roman (Corps CS)"/>
          <w:b/>
          <w:sz w:val="22"/>
          <w:szCs w:val="22"/>
        </w:rPr>
        <w:t>.</w:t>
      </w:r>
      <w:r w:rsidR="00296048">
        <w:rPr>
          <w:rFonts w:ascii="Century Gothic" w:hAnsi="Century Gothic" w:cs="Times New Roman (Corps CS)"/>
          <w:b/>
          <w:sz w:val="22"/>
          <w:szCs w:val="22"/>
        </w:rPr>
        <w:t xml:space="preserve"> </w:t>
      </w:r>
    </w:p>
    <w:p w14:paraId="20115306" w14:textId="21F3DFB8" w:rsidR="00393423" w:rsidRDefault="00393423" w:rsidP="007F423E">
      <w:pPr>
        <w:ind w:right="537"/>
        <w:jc w:val="both"/>
        <w:rPr>
          <w:rFonts w:ascii="Century Gothic" w:hAnsi="Century Gothic" w:cs="Times New Roman (Corps CS)"/>
          <w:b/>
          <w:sz w:val="22"/>
          <w:szCs w:val="22"/>
          <w:highlight w:val="yellow"/>
        </w:rPr>
      </w:pPr>
    </w:p>
    <w:p w14:paraId="0660896B" w14:textId="118D96C1" w:rsidR="002E5553" w:rsidRDefault="0066058F" w:rsidP="007F423E">
      <w:pPr>
        <w:ind w:right="537"/>
        <w:jc w:val="both"/>
        <w:rPr>
          <w:rFonts w:ascii="Century Gothic" w:hAnsi="Century Gothic" w:cs="Times New Roman (Corps CS)"/>
          <w:bCs/>
          <w:sz w:val="22"/>
          <w:szCs w:val="22"/>
        </w:rPr>
      </w:pPr>
      <w:r>
        <w:rPr>
          <w:rFonts w:ascii="Century Gothic" w:hAnsi="Century Gothic" w:cs="Times New Roman (Corps CS)"/>
          <w:bCs/>
          <w:sz w:val="22"/>
          <w:szCs w:val="22"/>
        </w:rPr>
        <w:t>Dans</w:t>
      </w:r>
      <w:r w:rsidR="002E5553">
        <w:rPr>
          <w:rFonts w:ascii="Century Gothic" w:hAnsi="Century Gothic" w:cs="Times New Roman (Corps CS)"/>
          <w:bCs/>
          <w:sz w:val="22"/>
          <w:szCs w:val="22"/>
        </w:rPr>
        <w:t xml:space="preserve"> une année 2022</w:t>
      </w:r>
      <w:r>
        <w:rPr>
          <w:rFonts w:ascii="Century Gothic" w:hAnsi="Century Gothic" w:cs="Times New Roman (Corps CS)"/>
          <w:bCs/>
          <w:sz w:val="22"/>
          <w:szCs w:val="22"/>
        </w:rPr>
        <w:t xml:space="preserve"> marquée par </w:t>
      </w:r>
      <w:r w:rsidR="002E5553">
        <w:rPr>
          <w:rFonts w:ascii="Century Gothic" w:hAnsi="Century Gothic" w:cs="Times New Roman (Corps CS)"/>
          <w:bCs/>
          <w:sz w:val="22"/>
          <w:szCs w:val="22"/>
        </w:rPr>
        <w:t>une inflation</w:t>
      </w:r>
      <w:r w:rsidR="009C150A">
        <w:rPr>
          <w:rFonts w:ascii="Century Gothic" w:hAnsi="Century Gothic" w:cs="Times New Roman (Corps CS)"/>
          <w:bCs/>
          <w:sz w:val="22"/>
          <w:szCs w:val="22"/>
        </w:rPr>
        <w:t xml:space="preserve"> s</w:t>
      </w:r>
      <w:r w:rsidR="002E5553">
        <w:rPr>
          <w:rFonts w:ascii="Century Gothic" w:hAnsi="Century Gothic" w:cs="Times New Roman (Corps CS)"/>
          <w:bCs/>
          <w:sz w:val="22"/>
          <w:szCs w:val="22"/>
        </w:rPr>
        <w:t>ans précédent depuis 40 ans</w:t>
      </w:r>
      <w:r w:rsidR="003F09FF">
        <w:rPr>
          <w:rFonts w:ascii="Century Gothic" w:hAnsi="Century Gothic" w:cs="Times New Roman (Corps CS)"/>
          <w:bCs/>
          <w:sz w:val="22"/>
          <w:szCs w:val="22"/>
        </w:rPr>
        <w:t xml:space="preserve"> </w:t>
      </w:r>
      <w:r w:rsidR="002E5553">
        <w:rPr>
          <w:rFonts w:ascii="Century Gothic" w:hAnsi="Century Gothic" w:cs="Times New Roman (Corps CS)"/>
          <w:bCs/>
          <w:sz w:val="22"/>
          <w:szCs w:val="22"/>
        </w:rPr>
        <w:t xml:space="preserve">et un ralentissement </w:t>
      </w:r>
      <w:r w:rsidR="003F09FF" w:rsidRPr="00357BC2">
        <w:rPr>
          <w:rFonts w:ascii="Century Gothic" w:hAnsi="Century Gothic" w:cs="Times New Roman (Corps CS)"/>
          <w:bCs/>
          <w:sz w:val="22"/>
          <w:szCs w:val="22"/>
        </w:rPr>
        <w:t>marqué</w:t>
      </w:r>
      <w:r w:rsidR="003F09FF" w:rsidRPr="003F09FF">
        <w:rPr>
          <w:rFonts w:ascii="Century Gothic" w:hAnsi="Century Gothic" w:cs="Times New Roman (Corps CS)"/>
          <w:bCs/>
          <w:color w:val="4472C4" w:themeColor="accent1"/>
          <w:sz w:val="22"/>
          <w:szCs w:val="22"/>
        </w:rPr>
        <w:t xml:space="preserve"> </w:t>
      </w:r>
      <w:r w:rsidR="002E5553">
        <w:rPr>
          <w:rFonts w:ascii="Century Gothic" w:hAnsi="Century Gothic" w:cs="Times New Roman (Corps CS)"/>
          <w:bCs/>
          <w:sz w:val="22"/>
          <w:szCs w:val="22"/>
        </w:rPr>
        <w:t xml:space="preserve">de l’économie mondiale, la Carac </w:t>
      </w:r>
      <w:r>
        <w:rPr>
          <w:rFonts w:ascii="Century Gothic" w:hAnsi="Century Gothic" w:cs="Times New Roman (Corps CS)"/>
          <w:bCs/>
          <w:sz w:val="22"/>
          <w:szCs w:val="22"/>
        </w:rPr>
        <w:t>a pu s’appuyer sur sa solidité</w:t>
      </w:r>
      <w:r w:rsidR="00CC71E3">
        <w:rPr>
          <w:rFonts w:ascii="Century Gothic" w:hAnsi="Century Gothic" w:cs="Times New Roman (Corps CS)"/>
          <w:bCs/>
          <w:sz w:val="22"/>
          <w:szCs w:val="22"/>
        </w:rPr>
        <w:t xml:space="preserve"> financière</w:t>
      </w:r>
      <w:r>
        <w:rPr>
          <w:rFonts w:ascii="Century Gothic" w:hAnsi="Century Gothic" w:cs="Times New Roman (Corps CS)"/>
          <w:bCs/>
          <w:sz w:val="22"/>
          <w:szCs w:val="22"/>
        </w:rPr>
        <w:t xml:space="preserve"> pour servir </w:t>
      </w:r>
      <w:r w:rsidR="00CC71E3">
        <w:rPr>
          <w:rFonts w:ascii="Century Gothic" w:hAnsi="Century Gothic" w:cs="Times New Roman (Corps CS)"/>
          <w:bCs/>
          <w:sz w:val="22"/>
          <w:szCs w:val="22"/>
        </w:rPr>
        <w:t xml:space="preserve">un </w:t>
      </w:r>
      <w:r w:rsidR="00C66CE4">
        <w:rPr>
          <w:rFonts w:ascii="Century Gothic" w:hAnsi="Century Gothic" w:cs="Times New Roman (Corps CS)"/>
          <w:bCs/>
          <w:sz w:val="22"/>
          <w:szCs w:val="22"/>
        </w:rPr>
        <w:t>rendement</w:t>
      </w:r>
      <w:r>
        <w:rPr>
          <w:rFonts w:ascii="Century Gothic" w:hAnsi="Century Gothic" w:cs="Times New Roman (Corps CS)"/>
          <w:bCs/>
          <w:sz w:val="22"/>
          <w:szCs w:val="22"/>
        </w:rPr>
        <w:t xml:space="preserve"> parmi les meilleur</w:t>
      </w:r>
      <w:r w:rsidR="00C66CE4">
        <w:rPr>
          <w:rFonts w:ascii="Century Gothic" w:hAnsi="Century Gothic" w:cs="Times New Roman (Corps CS)"/>
          <w:bCs/>
          <w:sz w:val="22"/>
          <w:szCs w:val="22"/>
        </w:rPr>
        <w:t>s</w:t>
      </w:r>
      <w:r>
        <w:rPr>
          <w:rFonts w:ascii="Century Gothic" w:hAnsi="Century Gothic" w:cs="Times New Roman (Corps CS)"/>
          <w:bCs/>
          <w:sz w:val="22"/>
          <w:szCs w:val="22"/>
        </w:rPr>
        <w:t xml:space="preserve"> du marché tout en </w:t>
      </w:r>
      <w:r w:rsidR="00E821A6">
        <w:rPr>
          <w:rFonts w:ascii="Century Gothic" w:hAnsi="Century Gothic" w:cs="Times New Roman (Corps CS)"/>
          <w:bCs/>
          <w:sz w:val="22"/>
          <w:szCs w:val="22"/>
        </w:rPr>
        <w:t xml:space="preserve">continuant à </w:t>
      </w:r>
      <w:r w:rsidR="00FA5AF2">
        <w:rPr>
          <w:rFonts w:ascii="Century Gothic" w:hAnsi="Century Gothic" w:cs="Times New Roman (Corps CS)"/>
          <w:bCs/>
          <w:sz w:val="22"/>
          <w:szCs w:val="22"/>
        </w:rPr>
        <w:t>doter</w:t>
      </w:r>
      <w:r>
        <w:rPr>
          <w:rFonts w:ascii="Century Gothic" w:hAnsi="Century Gothic" w:cs="Times New Roman (Corps CS)"/>
          <w:bCs/>
          <w:sz w:val="22"/>
          <w:szCs w:val="22"/>
        </w:rPr>
        <w:t xml:space="preserve"> s</w:t>
      </w:r>
      <w:r w:rsidR="00AB4850">
        <w:rPr>
          <w:rFonts w:ascii="Century Gothic" w:hAnsi="Century Gothic" w:cs="Times New Roman (Corps CS)"/>
          <w:bCs/>
          <w:sz w:val="22"/>
          <w:szCs w:val="22"/>
        </w:rPr>
        <w:t>a</w:t>
      </w:r>
      <w:r>
        <w:rPr>
          <w:rFonts w:ascii="Century Gothic" w:hAnsi="Century Gothic" w:cs="Times New Roman (Corps CS)"/>
          <w:bCs/>
          <w:sz w:val="22"/>
          <w:szCs w:val="22"/>
        </w:rPr>
        <w:t xml:space="preserve"> </w:t>
      </w:r>
      <w:r w:rsidR="00911A65" w:rsidRPr="006560F1">
        <w:rPr>
          <w:rFonts w:ascii="Century Gothic" w:hAnsi="Century Gothic" w:cs="Times New Roman (Corps CS)"/>
          <w:bCs/>
          <w:sz w:val="22"/>
          <w:szCs w:val="22"/>
        </w:rPr>
        <w:t xml:space="preserve">Provision pour Participation aux </w:t>
      </w:r>
      <w:r w:rsidR="00CD4407">
        <w:rPr>
          <w:rFonts w:ascii="Century Gothic" w:hAnsi="Century Gothic" w:cs="Times New Roman (Corps CS)"/>
          <w:bCs/>
          <w:sz w:val="22"/>
          <w:szCs w:val="22"/>
        </w:rPr>
        <w:t>E</w:t>
      </w:r>
      <w:r w:rsidR="00911A65" w:rsidRPr="006560F1">
        <w:rPr>
          <w:rFonts w:ascii="Century Gothic" w:hAnsi="Century Gothic" w:cs="Times New Roman (Corps CS)"/>
          <w:bCs/>
          <w:sz w:val="22"/>
          <w:szCs w:val="22"/>
        </w:rPr>
        <w:t xml:space="preserve">xcédents (PPE). </w:t>
      </w:r>
      <w:r w:rsidR="00FA5AF2">
        <w:rPr>
          <w:rFonts w:ascii="Century Gothic" w:hAnsi="Century Gothic" w:cs="Times New Roman (Corps CS)"/>
          <w:bCs/>
          <w:sz w:val="22"/>
          <w:szCs w:val="22"/>
        </w:rPr>
        <w:t xml:space="preserve">La Carac renforce </w:t>
      </w:r>
      <w:r w:rsidR="00C25E66">
        <w:rPr>
          <w:rFonts w:ascii="Century Gothic" w:hAnsi="Century Gothic" w:cs="Times New Roman (Corps CS)"/>
          <w:bCs/>
          <w:sz w:val="22"/>
          <w:szCs w:val="22"/>
        </w:rPr>
        <w:t xml:space="preserve">ainsi sa capacité à maintenir </w:t>
      </w:r>
      <w:r w:rsidR="00382AB1">
        <w:rPr>
          <w:rFonts w:ascii="Century Gothic" w:hAnsi="Century Gothic" w:cs="Times New Roman (Corps CS)"/>
          <w:bCs/>
          <w:sz w:val="22"/>
          <w:szCs w:val="22"/>
        </w:rPr>
        <w:t>la performance de son fonds en euro</w:t>
      </w:r>
      <w:r w:rsidR="00EE43BB">
        <w:rPr>
          <w:rFonts w:ascii="Century Gothic" w:hAnsi="Century Gothic" w:cs="Times New Roman (Corps CS)"/>
          <w:bCs/>
          <w:sz w:val="22"/>
          <w:szCs w:val="22"/>
        </w:rPr>
        <w:t>s</w:t>
      </w:r>
      <w:r w:rsidR="00382AB1">
        <w:rPr>
          <w:rFonts w:ascii="Century Gothic" w:hAnsi="Century Gothic" w:cs="Times New Roman (Corps CS)"/>
          <w:bCs/>
          <w:sz w:val="22"/>
          <w:szCs w:val="22"/>
        </w:rPr>
        <w:t xml:space="preserve"> sur la durée.</w:t>
      </w:r>
    </w:p>
    <w:p w14:paraId="5193A693" w14:textId="79EE7057" w:rsidR="0066058F" w:rsidRDefault="0066058F" w:rsidP="007F423E">
      <w:pPr>
        <w:ind w:right="537"/>
        <w:jc w:val="both"/>
        <w:rPr>
          <w:rFonts w:ascii="Century Gothic" w:hAnsi="Century Gothic" w:cs="Times New Roman (Corps CS)"/>
          <w:bCs/>
          <w:sz w:val="22"/>
          <w:szCs w:val="22"/>
        </w:rPr>
      </w:pPr>
    </w:p>
    <w:p w14:paraId="0AE2C360" w14:textId="375ED377" w:rsidR="0066058F" w:rsidRDefault="005B48F2" w:rsidP="5FE29536">
      <w:pPr>
        <w:ind w:right="537"/>
        <w:jc w:val="both"/>
        <w:rPr>
          <w:rFonts w:ascii="Century Gothic" w:hAnsi="Century Gothic" w:cs="Times New Roman (Corps CS)"/>
          <w:sz w:val="22"/>
          <w:szCs w:val="22"/>
        </w:rPr>
      </w:pPr>
      <w:r w:rsidRPr="5FE29536">
        <w:rPr>
          <w:rFonts w:ascii="Century Gothic" w:hAnsi="Century Gothic" w:cs="Times New Roman (Corps CS)"/>
          <w:sz w:val="22"/>
          <w:szCs w:val="22"/>
        </w:rPr>
        <w:t xml:space="preserve">La Carac va encore plus loin dans son engagement pour le pouvoir d’achat de ses adhérents en proposant </w:t>
      </w:r>
      <w:r w:rsidRPr="00C904DF">
        <w:rPr>
          <w:rFonts w:ascii="Century Gothic" w:hAnsi="Century Gothic" w:cs="Times New Roman (Corps CS)"/>
          <w:sz w:val="22"/>
          <w:szCs w:val="22"/>
        </w:rPr>
        <w:t xml:space="preserve">dès </w:t>
      </w:r>
      <w:r w:rsidR="0066058F" w:rsidRPr="00C904DF">
        <w:rPr>
          <w:rFonts w:ascii="Century Gothic" w:hAnsi="Century Gothic" w:cs="Times New Roman (Corps CS)"/>
          <w:sz w:val="22"/>
          <w:szCs w:val="22"/>
        </w:rPr>
        <w:t>aujourd’hui un taux</w:t>
      </w:r>
      <w:r w:rsidRPr="00C904DF">
        <w:rPr>
          <w:rFonts w:ascii="Century Gothic" w:hAnsi="Century Gothic" w:cs="Times New Roman (Corps CS)"/>
          <w:sz w:val="22"/>
          <w:szCs w:val="22"/>
        </w:rPr>
        <w:t xml:space="preserve"> 2023</w:t>
      </w:r>
      <w:r w:rsidR="0066058F" w:rsidRPr="00C904DF">
        <w:rPr>
          <w:rFonts w:ascii="Century Gothic" w:hAnsi="Century Gothic" w:cs="Times New Roman (Corps CS)"/>
          <w:sz w:val="22"/>
          <w:szCs w:val="22"/>
        </w:rPr>
        <w:t xml:space="preserve"> minimum garanti à </w:t>
      </w:r>
      <w:r w:rsidR="00EE43BB" w:rsidRPr="00C904DF">
        <w:rPr>
          <w:rFonts w:ascii="Century Gothic" w:hAnsi="Century Gothic" w:cs="Times New Roman (Corps CS)"/>
          <w:sz w:val="22"/>
          <w:szCs w:val="22"/>
        </w:rPr>
        <w:t>3</w:t>
      </w:r>
      <w:r w:rsidR="0066058F" w:rsidRPr="00C904DF">
        <w:rPr>
          <w:rFonts w:ascii="Century Gothic" w:hAnsi="Century Gothic" w:cs="Times New Roman (Corps CS)"/>
          <w:sz w:val="22"/>
          <w:szCs w:val="22"/>
        </w:rPr>
        <w:t xml:space="preserve"> % pour tous les versements effectués </w:t>
      </w:r>
      <w:r w:rsidR="00357BC2" w:rsidRPr="00C904DF">
        <w:rPr>
          <w:rFonts w:ascii="Century Gothic" w:hAnsi="Century Gothic" w:cs="Times New Roman (Corps CS)"/>
          <w:sz w:val="22"/>
          <w:szCs w:val="22"/>
        </w:rPr>
        <w:t>du 1</w:t>
      </w:r>
      <w:r w:rsidR="00357BC2" w:rsidRPr="00C904DF">
        <w:rPr>
          <w:rFonts w:ascii="Century Gothic" w:hAnsi="Century Gothic" w:cs="Times New Roman (Corps CS)"/>
          <w:sz w:val="22"/>
          <w:szCs w:val="22"/>
          <w:vertAlign w:val="superscript"/>
        </w:rPr>
        <w:t>er</w:t>
      </w:r>
      <w:r w:rsidR="00357BC2" w:rsidRPr="00C904DF">
        <w:rPr>
          <w:rFonts w:ascii="Century Gothic" w:hAnsi="Century Gothic" w:cs="Times New Roman (Corps CS)"/>
          <w:sz w:val="22"/>
          <w:szCs w:val="22"/>
        </w:rPr>
        <w:t xml:space="preserve"> janvier </w:t>
      </w:r>
      <w:r w:rsidR="00436A6E" w:rsidRPr="00C904DF">
        <w:rPr>
          <w:rFonts w:ascii="Century Gothic" w:hAnsi="Century Gothic" w:cs="Times New Roman (Corps CS)"/>
          <w:sz w:val="22"/>
          <w:szCs w:val="22"/>
        </w:rPr>
        <w:t>au 30 juin</w:t>
      </w:r>
      <w:r w:rsidR="0066058F" w:rsidRPr="00C904DF">
        <w:rPr>
          <w:rFonts w:ascii="Century Gothic" w:hAnsi="Century Gothic" w:cs="Times New Roman (Corps CS)"/>
          <w:sz w:val="22"/>
          <w:szCs w:val="22"/>
        </w:rPr>
        <w:t xml:space="preserve"> 2023</w:t>
      </w:r>
      <w:r w:rsidR="0066058F" w:rsidRPr="5FE29536">
        <w:rPr>
          <w:rFonts w:ascii="Century Gothic" w:hAnsi="Century Gothic" w:cs="Times New Roman (Corps CS)"/>
          <w:sz w:val="22"/>
          <w:szCs w:val="22"/>
        </w:rPr>
        <w:t xml:space="preserve"> sur le fonds en euros</w:t>
      </w:r>
      <w:r w:rsidR="0030127D">
        <w:rPr>
          <w:rFonts w:ascii="Century Gothic" w:hAnsi="Century Gothic" w:cs="Times New Roman (Corps CS)"/>
          <w:sz w:val="22"/>
          <w:szCs w:val="22"/>
        </w:rPr>
        <w:t xml:space="preserve"> </w:t>
      </w:r>
      <w:r w:rsidR="00E03B8B" w:rsidRPr="00E03B8B">
        <w:rPr>
          <w:rFonts w:ascii="Century Gothic" w:hAnsi="Century Gothic" w:cs="Times New Roman (Corps CS)"/>
          <w:sz w:val="18"/>
          <w:szCs w:val="18"/>
        </w:rPr>
        <w:t>(1)</w:t>
      </w:r>
      <w:r w:rsidR="0066058F" w:rsidRPr="00E03B8B">
        <w:rPr>
          <w:rFonts w:ascii="Century Gothic" w:hAnsi="Century Gothic" w:cs="Times New Roman (Corps CS)"/>
          <w:sz w:val="18"/>
          <w:szCs w:val="18"/>
        </w:rPr>
        <w:t>.</w:t>
      </w:r>
    </w:p>
    <w:p w14:paraId="5DBF9E4B" w14:textId="1B2887E1" w:rsidR="0066058F" w:rsidRDefault="0066058F" w:rsidP="007F423E">
      <w:pPr>
        <w:ind w:right="537"/>
        <w:jc w:val="both"/>
        <w:rPr>
          <w:rFonts w:ascii="Century Gothic" w:hAnsi="Century Gothic" w:cs="Times New Roman (Corps CS)"/>
          <w:bCs/>
          <w:sz w:val="22"/>
          <w:szCs w:val="22"/>
        </w:rPr>
      </w:pPr>
    </w:p>
    <w:p w14:paraId="7CF1740A" w14:textId="57A10107" w:rsidR="0066058F" w:rsidRPr="00451837" w:rsidRDefault="0066058F" w:rsidP="5FE29536">
      <w:pPr>
        <w:ind w:right="537"/>
        <w:jc w:val="both"/>
        <w:rPr>
          <w:rFonts w:ascii="Century Gothic" w:hAnsi="Century Gothic"/>
          <w:i/>
          <w:iCs/>
          <w:sz w:val="22"/>
          <w:szCs w:val="22"/>
        </w:rPr>
      </w:pPr>
      <w:r w:rsidRPr="5FE29536">
        <w:rPr>
          <w:rFonts w:ascii="Century Gothic" w:hAnsi="Century Gothic"/>
          <w:i/>
          <w:iCs/>
          <w:sz w:val="22"/>
          <w:szCs w:val="22"/>
        </w:rPr>
        <w:t>«</w:t>
      </w:r>
      <w:r w:rsidR="00DB75D1" w:rsidRPr="5FE29536">
        <w:rPr>
          <w:rFonts w:ascii="Century Gothic" w:hAnsi="Century Gothic"/>
          <w:i/>
          <w:iCs/>
          <w:sz w:val="22"/>
          <w:szCs w:val="22"/>
        </w:rPr>
        <w:t xml:space="preserve"> L</w:t>
      </w:r>
      <w:r w:rsidR="000E15D7" w:rsidRPr="5FE29536">
        <w:rPr>
          <w:rFonts w:ascii="Century Gothic" w:hAnsi="Century Gothic"/>
          <w:i/>
          <w:iCs/>
          <w:sz w:val="22"/>
          <w:szCs w:val="22"/>
        </w:rPr>
        <w:t xml:space="preserve">a Carac </w:t>
      </w:r>
      <w:r w:rsidR="00953597">
        <w:rPr>
          <w:rFonts w:ascii="Century Gothic" w:hAnsi="Century Gothic"/>
          <w:i/>
          <w:iCs/>
          <w:sz w:val="22"/>
          <w:szCs w:val="22"/>
        </w:rPr>
        <w:t xml:space="preserve">est </w:t>
      </w:r>
      <w:r w:rsidR="00EE297A">
        <w:rPr>
          <w:rFonts w:ascii="Century Gothic" w:hAnsi="Century Gothic"/>
          <w:i/>
          <w:iCs/>
          <w:sz w:val="22"/>
          <w:szCs w:val="22"/>
        </w:rPr>
        <w:t>engagée</w:t>
      </w:r>
      <w:r w:rsidR="00DB75D1" w:rsidRPr="5FE29536">
        <w:rPr>
          <w:rFonts w:ascii="Century Gothic" w:hAnsi="Century Gothic"/>
          <w:i/>
          <w:iCs/>
          <w:sz w:val="22"/>
          <w:szCs w:val="22"/>
        </w:rPr>
        <w:t xml:space="preserve"> pour l</w:t>
      </w:r>
      <w:r w:rsidR="006E4BFB">
        <w:rPr>
          <w:rFonts w:ascii="Century Gothic" w:hAnsi="Century Gothic"/>
          <w:i/>
          <w:iCs/>
          <w:sz w:val="22"/>
          <w:szCs w:val="22"/>
        </w:rPr>
        <w:t>’avenir du</w:t>
      </w:r>
      <w:r w:rsidR="00DB75D1" w:rsidRPr="5FE29536">
        <w:rPr>
          <w:rFonts w:ascii="Century Gothic" w:hAnsi="Century Gothic"/>
          <w:i/>
          <w:iCs/>
          <w:sz w:val="22"/>
          <w:szCs w:val="22"/>
        </w:rPr>
        <w:t xml:space="preserve"> patrimoine</w:t>
      </w:r>
      <w:r w:rsidR="006E4BFB">
        <w:rPr>
          <w:rFonts w:ascii="Century Gothic" w:hAnsi="Century Gothic"/>
          <w:i/>
          <w:iCs/>
          <w:sz w:val="22"/>
          <w:szCs w:val="22"/>
        </w:rPr>
        <w:t xml:space="preserve"> de ses adhérents et la défense</w:t>
      </w:r>
      <w:r w:rsidR="001801B0">
        <w:rPr>
          <w:rFonts w:ascii="Century Gothic" w:hAnsi="Century Gothic"/>
          <w:i/>
          <w:iCs/>
          <w:sz w:val="22"/>
          <w:szCs w:val="22"/>
        </w:rPr>
        <w:t xml:space="preserve"> de leur</w:t>
      </w:r>
      <w:r w:rsidR="00DB75D1" w:rsidRPr="5FE29536">
        <w:rPr>
          <w:rFonts w:ascii="Century Gothic" w:hAnsi="Century Gothic"/>
          <w:i/>
          <w:iCs/>
          <w:sz w:val="22"/>
          <w:szCs w:val="22"/>
        </w:rPr>
        <w:t xml:space="preserve"> pouvoir d’achat </w:t>
      </w:r>
      <w:r w:rsidR="000E15D7" w:rsidRPr="5FE29536">
        <w:rPr>
          <w:rFonts w:ascii="Century Gothic" w:hAnsi="Century Gothic"/>
          <w:i/>
          <w:iCs/>
          <w:sz w:val="22"/>
          <w:szCs w:val="22"/>
        </w:rPr>
        <w:t>avec des taux</w:t>
      </w:r>
      <w:r w:rsidR="001801B0">
        <w:rPr>
          <w:rFonts w:ascii="Century Gothic" w:hAnsi="Century Gothic"/>
          <w:i/>
          <w:iCs/>
          <w:sz w:val="22"/>
          <w:szCs w:val="22"/>
        </w:rPr>
        <w:t xml:space="preserve"> de rendement de ses contrats </w:t>
      </w:r>
      <w:r w:rsidR="0064070A">
        <w:rPr>
          <w:rFonts w:ascii="Century Gothic" w:hAnsi="Century Gothic"/>
          <w:i/>
          <w:iCs/>
          <w:sz w:val="22"/>
          <w:szCs w:val="22"/>
        </w:rPr>
        <w:t>toujours</w:t>
      </w:r>
      <w:r w:rsidR="000E15D7" w:rsidRPr="5FE29536">
        <w:rPr>
          <w:rFonts w:ascii="Century Gothic" w:hAnsi="Century Gothic"/>
          <w:i/>
          <w:iCs/>
          <w:sz w:val="22"/>
          <w:szCs w:val="22"/>
        </w:rPr>
        <w:t xml:space="preserve"> compétitifs</w:t>
      </w:r>
      <w:r w:rsidR="0064070A">
        <w:rPr>
          <w:rFonts w:ascii="Century Gothic" w:hAnsi="Century Gothic"/>
          <w:i/>
          <w:iCs/>
          <w:sz w:val="22"/>
          <w:szCs w:val="22"/>
        </w:rPr>
        <w:t>.</w:t>
      </w:r>
      <w:r w:rsidR="00EF3509">
        <w:rPr>
          <w:rFonts w:ascii="Century Gothic" w:hAnsi="Century Gothic"/>
          <w:i/>
          <w:iCs/>
          <w:sz w:val="22"/>
          <w:szCs w:val="22"/>
        </w:rPr>
        <w:t xml:space="preserve"> Par ailleurs, sa nouvelle gamme d’épargne et de retraite</w:t>
      </w:r>
      <w:r w:rsidR="00645D01">
        <w:rPr>
          <w:rFonts w:ascii="Century Gothic" w:hAnsi="Century Gothic"/>
          <w:i/>
          <w:iCs/>
          <w:sz w:val="22"/>
          <w:szCs w:val="22"/>
        </w:rPr>
        <w:t xml:space="preserve"> bénéficie de frais </w:t>
      </w:r>
      <w:r w:rsidR="71E2E36B" w:rsidRPr="4AF29C48">
        <w:rPr>
          <w:rFonts w:ascii="Century Gothic" w:hAnsi="Century Gothic"/>
          <w:i/>
          <w:iCs/>
          <w:sz w:val="22"/>
          <w:szCs w:val="22"/>
        </w:rPr>
        <w:t>sur les</w:t>
      </w:r>
      <w:r w:rsidR="00645D01">
        <w:rPr>
          <w:rFonts w:ascii="Century Gothic" w:hAnsi="Century Gothic"/>
          <w:i/>
          <w:iCs/>
          <w:sz w:val="22"/>
          <w:szCs w:val="22"/>
        </w:rPr>
        <w:t xml:space="preserve"> v</w:t>
      </w:r>
      <w:r w:rsidR="00775C50">
        <w:rPr>
          <w:rFonts w:ascii="Century Gothic" w:hAnsi="Century Gothic"/>
          <w:i/>
          <w:iCs/>
          <w:sz w:val="22"/>
          <w:szCs w:val="22"/>
        </w:rPr>
        <w:t>e</w:t>
      </w:r>
      <w:r w:rsidR="00645D01">
        <w:rPr>
          <w:rFonts w:ascii="Century Gothic" w:hAnsi="Century Gothic"/>
          <w:i/>
          <w:iCs/>
          <w:sz w:val="22"/>
          <w:szCs w:val="22"/>
        </w:rPr>
        <w:t>rsements à 0%</w:t>
      </w:r>
      <w:r w:rsidR="00596253">
        <w:rPr>
          <w:rFonts w:ascii="Century Gothic" w:hAnsi="Century Gothic"/>
          <w:i/>
          <w:iCs/>
          <w:sz w:val="22"/>
          <w:szCs w:val="22"/>
        </w:rPr>
        <w:t xml:space="preserve"> </w:t>
      </w:r>
      <w:r w:rsidR="00596253" w:rsidRPr="00596253">
        <w:rPr>
          <w:rFonts w:ascii="Century Gothic" w:hAnsi="Century Gothic"/>
          <w:i/>
          <w:iCs/>
          <w:sz w:val="18"/>
          <w:szCs w:val="18"/>
        </w:rPr>
        <w:t>(</w:t>
      </w:r>
      <w:r w:rsidR="00596253">
        <w:rPr>
          <w:rFonts w:ascii="Century Gothic" w:hAnsi="Century Gothic"/>
          <w:i/>
          <w:iCs/>
          <w:sz w:val="18"/>
          <w:szCs w:val="18"/>
        </w:rPr>
        <w:t>2</w:t>
      </w:r>
      <w:r w:rsidR="00596253" w:rsidRPr="00596253">
        <w:rPr>
          <w:rFonts w:ascii="Century Gothic" w:hAnsi="Century Gothic"/>
          <w:i/>
          <w:iCs/>
          <w:sz w:val="18"/>
          <w:szCs w:val="18"/>
        </w:rPr>
        <w:t>)</w:t>
      </w:r>
      <w:r w:rsidR="00D17508">
        <w:rPr>
          <w:rFonts w:ascii="Century Gothic" w:hAnsi="Century Gothic"/>
          <w:i/>
          <w:iCs/>
          <w:sz w:val="22"/>
          <w:szCs w:val="22"/>
        </w:rPr>
        <w:t xml:space="preserve"> le </w:t>
      </w:r>
      <w:r w:rsidR="00B609A8" w:rsidRPr="5FE29536">
        <w:rPr>
          <w:rFonts w:ascii="Century Gothic" w:hAnsi="Century Gothic"/>
          <w:i/>
          <w:iCs/>
          <w:sz w:val="22"/>
          <w:szCs w:val="22"/>
        </w:rPr>
        <w:t>tout avec l’accompagnement d’un conseiller dédié</w:t>
      </w:r>
      <w:r w:rsidR="005B48F2" w:rsidRPr="5FE29536">
        <w:rPr>
          <w:rFonts w:ascii="Century Gothic" w:hAnsi="Century Gothic"/>
          <w:i/>
          <w:iCs/>
          <w:sz w:val="22"/>
          <w:szCs w:val="22"/>
        </w:rPr>
        <w:t xml:space="preserve"> </w:t>
      </w:r>
      <w:r w:rsidR="33765820" w:rsidRPr="4AF29C48">
        <w:rPr>
          <w:rFonts w:ascii="Century Gothic" w:hAnsi="Century Gothic"/>
          <w:i/>
          <w:iCs/>
          <w:sz w:val="22"/>
          <w:szCs w:val="22"/>
        </w:rPr>
        <w:t>»</w:t>
      </w:r>
      <w:r w:rsidR="000E15D7" w:rsidRPr="5FE29536">
        <w:rPr>
          <w:rFonts w:ascii="Century Gothic" w:hAnsi="Century Gothic"/>
          <w:i/>
          <w:iCs/>
          <w:sz w:val="22"/>
          <w:szCs w:val="22"/>
        </w:rPr>
        <w:t xml:space="preserve"> </w:t>
      </w:r>
      <w:r w:rsidR="00A53088" w:rsidRPr="4AF29C48">
        <w:rPr>
          <w:rFonts w:ascii="Century Gothic" w:hAnsi="Century Gothic"/>
          <w:i/>
          <w:sz w:val="22"/>
          <w:szCs w:val="22"/>
        </w:rPr>
        <w:t>précise</w:t>
      </w:r>
      <w:r w:rsidR="00A53088" w:rsidRPr="5FE29536">
        <w:rPr>
          <w:rFonts w:ascii="Century Gothic" w:hAnsi="Century Gothic" w:cs="Times New Roman (Corps CS)"/>
          <w:sz w:val="22"/>
          <w:szCs w:val="22"/>
        </w:rPr>
        <w:t xml:space="preserve"> </w:t>
      </w:r>
      <w:r w:rsidR="000E15D7" w:rsidRPr="5FE29536">
        <w:rPr>
          <w:rFonts w:ascii="Century Gothic" w:hAnsi="Century Gothic"/>
          <w:i/>
          <w:iCs/>
          <w:sz w:val="22"/>
          <w:szCs w:val="22"/>
        </w:rPr>
        <w:t>Pierre Lara, Président de la Carac.</w:t>
      </w:r>
    </w:p>
    <w:p w14:paraId="24DC58D5" w14:textId="77777777" w:rsidR="005E3BCF" w:rsidRPr="00451837" w:rsidRDefault="005E3BCF" w:rsidP="007F423E">
      <w:pPr>
        <w:ind w:right="537"/>
        <w:jc w:val="both"/>
        <w:rPr>
          <w:rFonts w:ascii="Century Gothic" w:hAnsi="Century Gothic"/>
          <w:b/>
          <w:sz w:val="22"/>
          <w:szCs w:val="22"/>
        </w:rPr>
      </w:pPr>
    </w:p>
    <w:p w14:paraId="27A91DB5" w14:textId="49445915" w:rsidR="00592CB5" w:rsidRDefault="00596253" w:rsidP="00054AB2">
      <w:pPr>
        <w:ind w:right="537"/>
        <w:jc w:val="both"/>
        <w:rPr>
          <w:rFonts w:ascii="Century Gothic" w:hAnsi="Century Gothic"/>
          <w:i/>
          <w:iCs/>
          <w:sz w:val="22"/>
          <w:szCs w:val="22"/>
        </w:rPr>
      </w:pPr>
      <w:r>
        <w:rPr>
          <w:rFonts w:ascii="Century Gothic" w:hAnsi="Century Gothic"/>
          <w:i/>
          <w:iCs/>
          <w:sz w:val="22"/>
          <w:szCs w:val="22"/>
        </w:rPr>
        <w:t>« </w:t>
      </w:r>
      <w:r w:rsidR="00592CB5">
        <w:rPr>
          <w:rFonts w:ascii="Century Gothic" w:hAnsi="Century Gothic"/>
          <w:i/>
          <w:iCs/>
          <w:sz w:val="22"/>
          <w:szCs w:val="22"/>
        </w:rPr>
        <w:t xml:space="preserve">Notre mutuelle </w:t>
      </w:r>
      <w:r w:rsidR="009E4D57">
        <w:rPr>
          <w:rFonts w:ascii="Century Gothic" w:hAnsi="Century Gothic"/>
          <w:i/>
          <w:iCs/>
          <w:sz w:val="22"/>
          <w:szCs w:val="22"/>
        </w:rPr>
        <w:t>confirme</w:t>
      </w:r>
      <w:r w:rsidR="00592CB5">
        <w:rPr>
          <w:rFonts w:ascii="Century Gothic" w:hAnsi="Century Gothic"/>
          <w:i/>
          <w:iCs/>
          <w:sz w:val="22"/>
          <w:szCs w:val="22"/>
        </w:rPr>
        <w:t xml:space="preserve"> s</w:t>
      </w:r>
      <w:r w:rsidR="00675A92">
        <w:rPr>
          <w:rFonts w:ascii="Century Gothic" w:hAnsi="Century Gothic"/>
          <w:i/>
          <w:iCs/>
          <w:sz w:val="22"/>
          <w:szCs w:val="22"/>
        </w:rPr>
        <w:t>a capacité</w:t>
      </w:r>
      <w:r w:rsidR="00111A3A">
        <w:rPr>
          <w:rFonts w:ascii="Century Gothic" w:hAnsi="Century Gothic"/>
          <w:i/>
          <w:iCs/>
          <w:sz w:val="22"/>
          <w:szCs w:val="22"/>
        </w:rPr>
        <w:t xml:space="preserve"> à </w:t>
      </w:r>
      <w:r w:rsidR="00675A92">
        <w:rPr>
          <w:rFonts w:ascii="Century Gothic" w:hAnsi="Century Gothic"/>
          <w:i/>
          <w:iCs/>
          <w:sz w:val="22"/>
          <w:szCs w:val="22"/>
        </w:rPr>
        <w:t xml:space="preserve">apporter à ses adhérents </w:t>
      </w:r>
      <w:r w:rsidR="00111A3A">
        <w:rPr>
          <w:rFonts w:ascii="Century Gothic" w:hAnsi="Century Gothic"/>
          <w:i/>
          <w:iCs/>
          <w:sz w:val="22"/>
          <w:szCs w:val="22"/>
        </w:rPr>
        <w:t>performance</w:t>
      </w:r>
      <w:r w:rsidR="009735E2">
        <w:rPr>
          <w:rFonts w:ascii="Century Gothic" w:hAnsi="Century Gothic"/>
          <w:i/>
          <w:iCs/>
          <w:sz w:val="22"/>
          <w:szCs w:val="22"/>
        </w:rPr>
        <w:t xml:space="preserve"> et </w:t>
      </w:r>
      <w:r w:rsidR="00111A3A">
        <w:rPr>
          <w:rFonts w:ascii="Century Gothic" w:hAnsi="Century Gothic"/>
          <w:i/>
          <w:iCs/>
          <w:sz w:val="22"/>
          <w:szCs w:val="22"/>
        </w:rPr>
        <w:t>solidité financière</w:t>
      </w:r>
      <w:r w:rsidR="00063A7F">
        <w:rPr>
          <w:rFonts w:ascii="Century Gothic" w:hAnsi="Century Gothic"/>
          <w:i/>
          <w:iCs/>
          <w:sz w:val="22"/>
          <w:szCs w:val="22"/>
        </w:rPr>
        <w:t>,</w:t>
      </w:r>
      <w:r w:rsidR="00111A3A">
        <w:rPr>
          <w:rFonts w:ascii="Century Gothic" w:hAnsi="Century Gothic"/>
          <w:i/>
          <w:iCs/>
          <w:sz w:val="22"/>
          <w:szCs w:val="22"/>
        </w:rPr>
        <w:t xml:space="preserve"> </w:t>
      </w:r>
      <w:r w:rsidR="009A7993">
        <w:rPr>
          <w:rFonts w:ascii="Century Gothic" w:hAnsi="Century Gothic"/>
          <w:i/>
          <w:iCs/>
          <w:sz w:val="22"/>
          <w:szCs w:val="22"/>
        </w:rPr>
        <w:t xml:space="preserve">et son </w:t>
      </w:r>
      <w:r w:rsidR="009C4FB0">
        <w:rPr>
          <w:rFonts w:ascii="Century Gothic" w:hAnsi="Century Gothic"/>
          <w:i/>
          <w:iCs/>
          <w:sz w:val="22"/>
          <w:szCs w:val="22"/>
        </w:rPr>
        <w:t>engag</w:t>
      </w:r>
      <w:r w:rsidR="009A7993">
        <w:rPr>
          <w:rFonts w:ascii="Century Gothic" w:hAnsi="Century Gothic"/>
          <w:i/>
          <w:iCs/>
          <w:sz w:val="22"/>
          <w:szCs w:val="22"/>
        </w:rPr>
        <w:t>ement</w:t>
      </w:r>
      <w:r w:rsidR="00EC0A88">
        <w:rPr>
          <w:rFonts w:ascii="Century Gothic" w:hAnsi="Century Gothic"/>
          <w:i/>
          <w:iCs/>
          <w:sz w:val="22"/>
          <w:szCs w:val="22"/>
        </w:rPr>
        <w:t xml:space="preserve"> dans une démarche de responsabilité sociale</w:t>
      </w:r>
      <w:r w:rsidR="00852561">
        <w:rPr>
          <w:rFonts w:ascii="Century Gothic" w:hAnsi="Century Gothic"/>
          <w:i/>
          <w:iCs/>
          <w:sz w:val="22"/>
          <w:szCs w:val="22"/>
        </w:rPr>
        <w:t xml:space="preserve">. </w:t>
      </w:r>
      <w:r w:rsidR="00FE11BD">
        <w:rPr>
          <w:rFonts w:ascii="Century Gothic" w:hAnsi="Century Gothic"/>
          <w:i/>
          <w:iCs/>
          <w:sz w:val="22"/>
          <w:szCs w:val="22"/>
        </w:rPr>
        <w:t xml:space="preserve">La Carac continue ainsi à porter des valeurs fortes issues de </w:t>
      </w:r>
      <w:r w:rsidR="001D2C31">
        <w:rPr>
          <w:rFonts w:ascii="Century Gothic" w:hAnsi="Century Gothic"/>
          <w:i/>
          <w:iCs/>
          <w:sz w:val="22"/>
          <w:szCs w:val="22"/>
        </w:rPr>
        <w:t>son histoire et de sa culture mutualiste</w:t>
      </w:r>
      <w:r>
        <w:rPr>
          <w:rFonts w:ascii="Century Gothic" w:hAnsi="Century Gothic"/>
          <w:i/>
          <w:iCs/>
          <w:sz w:val="22"/>
          <w:szCs w:val="22"/>
        </w:rPr>
        <w:t> »</w:t>
      </w:r>
      <w:r w:rsidR="00FF6CBC">
        <w:rPr>
          <w:rFonts w:ascii="Century Gothic" w:hAnsi="Century Gothic"/>
          <w:i/>
          <w:iCs/>
          <w:sz w:val="22"/>
          <w:szCs w:val="22"/>
        </w:rPr>
        <w:t xml:space="preserve"> </w:t>
      </w:r>
      <w:r w:rsidR="00FF6CBC" w:rsidRPr="009C3A60">
        <w:rPr>
          <w:rFonts w:ascii="Century Gothic" w:hAnsi="Century Gothic"/>
          <w:i/>
          <w:iCs/>
          <w:sz w:val="22"/>
          <w:szCs w:val="22"/>
        </w:rPr>
        <w:t xml:space="preserve">ajoute </w:t>
      </w:r>
      <w:r w:rsidR="00FF6CBC" w:rsidRPr="00CD4407">
        <w:rPr>
          <w:rFonts w:ascii="Century Gothic" w:hAnsi="Century Gothic"/>
          <w:i/>
          <w:iCs/>
          <w:sz w:val="22"/>
          <w:szCs w:val="22"/>
        </w:rPr>
        <w:t>Michel Andignac, Directeur général de la Carac.</w:t>
      </w:r>
    </w:p>
    <w:p w14:paraId="3B0714E0" w14:textId="77777777" w:rsidR="00215F11" w:rsidRDefault="00215F11" w:rsidP="007F423E">
      <w:pPr>
        <w:ind w:right="537"/>
        <w:jc w:val="both"/>
        <w:rPr>
          <w:rFonts w:ascii="Century Gothic" w:hAnsi="Century Gothic"/>
          <w:sz w:val="22"/>
          <w:szCs w:val="22"/>
        </w:rPr>
      </w:pPr>
    </w:p>
    <w:p w14:paraId="2FDFFE85" w14:textId="405D070B" w:rsidR="00551715" w:rsidRPr="00451837" w:rsidRDefault="006C078C" w:rsidP="00F844E6">
      <w:pPr>
        <w:ind w:right="254"/>
        <w:jc w:val="both"/>
        <w:rPr>
          <w:rFonts w:ascii="Century Gothic" w:hAnsi="Century Gothic"/>
          <w:b/>
          <w:bCs/>
          <w:sz w:val="22"/>
          <w:szCs w:val="22"/>
        </w:rPr>
      </w:pPr>
      <w:r w:rsidRPr="00451837">
        <w:rPr>
          <w:rFonts w:ascii="Century Gothic" w:hAnsi="Century Gothic"/>
          <w:b/>
          <w:bCs/>
          <w:sz w:val="22"/>
          <w:szCs w:val="22"/>
        </w:rPr>
        <w:t xml:space="preserve">Une performance du fonds en euros qui </w:t>
      </w:r>
      <w:r w:rsidRPr="4AF29C48">
        <w:rPr>
          <w:rFonts w:ascii="Century Gothic" w:hAnsi="Century Gothic"/>
          <w:b/>
          <w:sz w:val="22"/>
          <w:szCs w:val="22"/>
        </w:rPr>
        <w:t>a</w:t>
      </w:r>
      <w:r w:rsidRPr="00451837">
        <w:rPr>
          <w:rFonts w:ascii="Century Gothic" w:hAnsi="Century Gothic"/>
          <w:b/>
          <w:bCs/>
          <w:sz w:val="22"/>
          <w:szCs w:val="22"/>
        </w:rPr>
        <w:t xml:space="preserve"> fait ses preuves sur la durée</w:t>
      </w:r>
    </w:p>
    <w:p w14:paraId="6414651F" w14:textId="77777777" w:rsidR="00260F67" w:rsidRDefault="00260F67" w:rsidP="00F844E6">
      <w:pPr>
        <w:ind w:right="254"/>
        <w:jc w:val="both"/>
        <w:rPr>
          <w:rFonts w:ascii="Century Gothic" w:hAnsi="Century Gothic"/>
          <w:sz w:val="22"/>
          <w:szCs w:val="22"/>
        </w:rPr>
      </w:pPr>
    </w:p>
    <w:p w14:paraId="16FCBB2A" w14:textId="449C9C94" w:rsidR="006C078C" w:rsidRPr="00451837" w:rsidRDefault="000363D4" w:rsidP="00F844E6">
      <w:pPr>
        <w:ind w:right="254"/>
        <w:jc w:val="both"/>
        <w:rPr>
          <w:rFonts w:ascii="Century Gothic" w:hAnsi="Century Gothic"/>
          <w:sz w:val="22"/>
          <w:szCs w:val="22"/>
        </w:rPr>
      </w:pPr>
      <w:r>
        <w:rPr>
          <w:rFonts w:ascii="Century Gothic" w:hAnsi="Century Gothic"/>
          <w:sz w:val="22"/>
          <w:szCs w:val="22"/>
        </w:rPr>
        <w:t xml:space="preserve">Dans un </w:t>
      </w:r>
      <w:r w:rsidR="00AE6AC2">
        <w:rPr>
          <w:rFonts w:ascii="Century Gothic" w:hAnsi="Century Gothic"/>
          <w:sz w:val="22"/>
          <w:szCs w:val="22"/>
        </w:rPr>
        <w:t>environnement</w:t>
      </w:r>
      <w:r w:rsidR="00C5658B">
        <w:rPr>
          <w:rFonts w:ascii="Century Gothic" w:hAnsi="Century Gothic"/>
          <w:sz w:val="22"/>
          <w:szCs w:val="22"/>
        </w:rPr>
        <w:t xml:space="preserve"> </w:t>
      </w:r>
      <w:r w:rsidR="00E850AE">
        <w:rPr>
          <w:rFonts w:ascii="Century Gothic" w:hAnsi="Century Gothic"/>
          <w:sz w:val="22"/>
          <w:szCs w:val="22"/>
        </w:rPr>
        <w:t>économique</w:t>
      </w:r>
      <w:r w:rsidR="00C5658B">
        <w:rPr>
          <w:rFonts w:ascii="Century Gothic" w:hAnsi="Century Gothic"/>
          <w:sz w:val="22"/>
          <w:szCs w:val="22"/>
        </w:rPr>
        <w:t xml:space="preserve">, géopolitique et financiers </w:t>
      </w:r>
      <w:r w:rsidR="000C45CD">
        <w:rPr>
          <w:rFonts w:ascii="Century Gothic" w:hAnsi="Century Gothic"/>
          <w:sz w:val="22"/>
          <w:szCs w:val="22"/>
        </w:rPr>
        <w:t>complexe</w:t>
      </w:r>
      <w:r w:rsidR="00C5658B">
        <w:rPr>
          <w:rFonts w:ascii="Century Gothic" w:hAnsi="Century Gothic"/>
          <w:sz w:val="22"/>
          <w:szCs w:val="22"/>
        </w:rPr>
        <w:t>s</w:t>
      </w:r>
      <w:r w:rsidR="00F62F4A">
        <w:rPr>
          <w:rFonts w:ascii="Century Gothic" w:hAnsi="Century Gothic"/>
          <w:sz w:val="22"/>
          <w:szCs w:val="22"/>
        </w:rPr>
        <w:t>,</w:t>
      </w:r>
      <w:r w:rsidR="00296FB9">
        <w:rPr>
          <w:rFonts w:ascii="Century Gothic" w:hAnsi="Century Gothic"/>
          <w:sz w:val="22"/>
          <w:szCs w:val="22"/>
        </w:rPr>
        <w:t xml:space="preserve"> la gestion rigoureuse </w:t>
      </w:r>
      <w:r w:rsidR="001841A2">
        <w:rPr>
          <w:rFonts w:ascii="Century Gothic" w:hAnsi="Century Gothic"/>
          <w:sz w:val="22"/>
          <w:szCs w:val="22"/>
        </w:rPr>
        <w:t>et responsable</w:t>
      </w:r>
      <w:r w:rsidR="00356A65">
        <w:rPr>
          <w:rFonts w:ascii="Century Gothic" w:hAnsi="Century Gothic"/>
          <w:sz w:val="22"/>
          <w:szCs w:val="22"/>
        </w:rPr>
        <w:t xml:space="preserve"> de ses actifs</w:t>
      </w:r>
      <w:r w:rsidR="39965B84" w:rsidRPr="4AF29C48">
        <w:rPr>
          <w:rFonts w:ascii="Century Gothic" w:hAnsi="Century Gothic"/>
          <w:sz w:val="22"/>
          <w:szCs w:val="22"/>
        </w:rPr>
        <w:t>,</w:t>
      </w:r>
      <w:r w:rsidR="00DD46AD">
        <w:rPr>
          <w:rFonts w:ascii="Century Gothic" w:hAnsi="Century Gothic"/>
          <w:sz w:val="22"/>
          <w:szCs w:val="22"/>
        </w:rPr>
        <w:t xml:space="preserve"> avec une vision de long terme,</w:t>
      </w:r>
      <w:r w:rsidR="00356A65">
        <w:rPr>
          <w:rFonts w:ascii="Century Gothic" w:hAnsi="Century Gothic"/>
          <w:sz w:val="22"/>
          <w:szCs w:val="22"/>
        </w:rPr>
        <w:t xml:space="preserve"> permet</w:t>
      </w:r>
      <w:r w:rsidR="00E92690">
        <w:rPr>
          <w:rFonts w:ascii="Century Gothic" w:hAnsi="Century Gothic"/>
          <w:sz w:val="22"/>
          <w:szCs w:val="22"/>
        </w:rPr>
        <w:t xml:space="preserve"> une nouvelle fois</w:t>
      </w:r>
      <w:r w:rsidR="00356A65">
        <w:rPr>
          <w:rFonts w:ascii="Century Gothic" w:hAnsi="Century Gothic"/>
          <w:sz w:val="22"/>
          <w:szCs w:val="22"/>
        </w:rPr>
        <w:t xml:space="preserve"> à la Carac de distribuer </w:t>
      </w:r>
      <w:r w:rsidR="00D23C46">
        <w:rPr>
          <w:rFonts w:ascii="Century Gothic" w:hAnsi="Century Gothic"/>
          <w:sz w:val="22"/>
          <w:szCs w:val="22"/>
        </w:rPr>
        <w:t xml:space="preserve">à ses adhérents des </w:t>
      </w:r>
      <w:r w:rsidR="00F20CFB">
        <w:rPr>
          <w:rFonts w:ascii="Century Gothic" w:hAnsi="Century Gothic"/>
          <w:sz w:val="22"/>
          <w:szCs w:val="22"/>
        </w:rPr>
        <w:t>rendements parmi les meilleurs du marché</w:t>
      </w:r>
      <w:r w:rsidR="00E92690">
        <w:rPr>
          <w:rFonts w:ascii="Century Gothic" w:hAnsi="Century Gothic"/>
          <w:sz w:val="22"/>
          <w:szCs w:val="22"/>
        </w:rPr>
        <w:t>.</w:t>
      </w:r>
    </w:p>
    <w:p w14:paraId="5882B93F" w14:textId="5936CBD1" w:rsidR="0042630A" w:rsidRDefault="0042630A" w:rsidP="00F844E6">
      <w:pPr>
        <w:ind w:right="254"/>
        <w:jc w:val="both"/>
        <w:rPr>
          <w:rFonts w:ascii="Century Gothic" w:hAnsi="Century Gothic"/>
          <w:sz w:val="22"/>
          <w:szCs w:val="22"/>
        </w:rPr>
      </w:pPr>
    </w:p>
    <w:p w14:paraId="2635F016" w14:textId="41235463" w:rsidR="00AE2D5A" w:rsidRDefault="3429F04A" w:rsidP="00F844E6">
      <w:pPr>
        <w:ind w:right="254"/>
        <w:jc w:val="both"/>
        <w:rPr>
          <w:rFonts w:ascii="Century Gothic" w:hAnsi="Century Gothic"/>
          <w:sz w:val="22"/>
          <w:szCs w:val="22"/>
        </w:rPr>
      </w:pPr>
      <w:r w:rsidRPr="4AF29C48">
        <w:rPr>
          <w:rFonts w:ascii="Century Gothic" w:hAnsi="Century Gothic"/>
          <w:sz w:val="22"/>
          <w:szCs w:val="22"/>
        </w:rPr>
        <w:t>En 2022, l</w:t>
      </w:r>
      <w:r w:rsidR="22F894EA" w:rsidRPr="4AF29C48">
        <w:rPr>
          <w:rFonts w:ascii="Century Gothic" w:hAnsi="Century Gothic"/>
          <w:sz w:val="22"/>
          <w:szCs w:val="22"/>
        </w:rPr>
        <w:t xml:space="preserve">a Carac sert sur ses contrats phares </w:t>
      </w:r>
      <w:r w:rsidR="00596253">
        <w:rPr>
          <w:rFonts w:ascii="Century Gothic" w:hAnsi="Century Gothic"/>
          <w:sz w:val="22"/>
          <w:szCs w:val="22"/>
        </w:rPr>
        <w:t>-</w:t>
      </w:r>
      <w:r w:rsidR="00FA7175">
        <w:rPr>
          <w:rFonts w:ascii="Century Gothic" w:hAnsi="Century Gothic"/>
          <w:sz w:val="22"/>
          <w:szCs w:val="22"/>
        </w:rPr>
        <w:t xml:space="preserve"> </w:t>
      </w:r>
      <w:r w:rsidR="22F894EA" w:rsidRPr="4AF29C48">
        <w:rPr>
          <w:rFonts w:ascii="Century Gothic" w:hAnsi="Century Gothic"/>
          <w:sz w:val="22"/>
          <w:szCs w:val="22"/>
        </w:rPr>
        <w:t xml:space="preserve">Carac Epargne Patrimoine, Carac Epargne </w:t>
      </w:r>
      <w:r w:rsidR="00360C93">
        <w:rPr>
          <w:rFonts w:ascii="Century Gothic" w:hAnsi="Century Gothic"/>
          <w:sz w:val="22"/>
          <w:szCs w:val="22"/>
        </w:rPr>
        <w:t>G</w:t>
      </w:r>
      <w:r w:rsidR="22F894EA" w:rsidRPr="4AF29C48">
        <w:rPr>
          <w:rFonts w:ascii="Century Gothic" w:hAnsi="Century Gothic"/>
          <w:sz w:val="22"/>
          <w:szCs w:val="22"/>
        </w:rPr>
        <w:t xml:space="preserve">énération, Carac </w:t>
      </w:r>
      <w:r w:rsidR="1D1630A8" w:rsidRPr="4AF29C48">
        <w:rPr>
          <w:rFonts w:ascii="Century Gothic" w:hAnsi="Century Gothic"/>
          <w:sz w:val="22"/>
          <w:szCs w:val="22"/>
        </w:rPr>
        <w:t>Epargne</w:t>
      </w:r>
      <w:r w:rsidR="22F894EA" w:rsidRPr="4AF29C48">
        <w:rPr>
          <w:rFonts w:ascii="Century Gothic" w:hAnsi="Century Gothic"/>
          <w:sz w:val="22"/>
          <w:szCs w:val="22"/>
        </w:rPr>
        <w:t xml:space="preserve"> Pr</w:t>
      </w:r>
      <w:r w:rsidR="1D819C75" w:rsidRPr="4AF29C48">
        <w:rPr>
          <w:rFonts w:ascii="Century Gothic" w:hAnsi="Century Gothic"/>
          <w:sz w:val="22"/>
          <w:szCs w:val="22"/>
        </w:rPr>
        <w:t xml:space="preserve">otection, Carac Epargne Solidaire, Carac </w:t>
      </w:r>
      <w:proofErr w:type="spellStart"/>
      <w:r w:rsidR="1D819C75" w:rsidRPr="4AF29C48">
        <w:rPr>
          <w:rFonts w:ascii="Century Gothic" w:hAnsi="Century Gothic"/>
          <w:sz w:val="22"/>
          <w:szCs w:val="22"/>
        </w:rPr>
        <w:t>Profiléo</w:t>
      </w:r>
      <w:proofErr w:type="spellEnd"/>
      <w:r w:rsidR="1D819C75" w:rsidRPr="4AF29C48">
        <w:rPr>
          <w:rFonts w:ascii="Century Gothic" w:hAnsi="Century Gothic"/>
          <w:sz w:val="22"/>
          <w:szCs w:val="22"/>
        </w:rPr>
        <w:t xml:space="preserve"> et le PER Individuel Carac</w:t>
      </w:r>
      <w:r w:rsidR="00FA7175">
        <w:rPr>
          <w:rFonts w:ascii="Century Gothic" w:hAnsi="Century Gothic"/>
          <w:sz w:val="22"/>
          <w:szCs w:val="22"/>
        </w:rPr>
        <w:t xml:space="preserve"> </w:t>
      </w:r>
      <w:r w:rsidR="1D819C75" w:rsidRPr="4AF29C48">
        <w:rPr>
          <w:rFonts w:ascii="Century Gothic" w:hAnsi="Century Gothic"/>
          <w:sz w:val="22"/>
          <w:szCs w:val="22"/>
        </w:rPr>
        <w:t>- un taux</w:t>
      </w:r>
      <w:r w:rsidR="0030127D">
        <w:rPr>
          <w:rFonts w:ascii="Century Gothic" w:hAnsi="Century Gothic"/>
          <w:sz w:val="22"/>
          <w:szCs w:val="22"/>
        </w:rPr>
        <w:t xml:space="preserve"> </w:t>
      </w:r>
      <w:r w:rsidR="0030127D" w:rsidRPr="00596253">
        <w:rPr>
          <w:rFonts w:ascii="Century Gothic" w:hAnsi="Century Gothic"/>
          <w:sz w:val="18"/>
          <w:szCs w:val="18"/>
        </w:rPr>
        <w:t>(</w:t>
      </w:r>
      <w:r w:rsidR="00596253" w:rsidRPr="00596253">
        <w:rPr>
          <w:rFonts w:ascii="Century Gothic" w:hAnsi="Century Gothic"/>
          <w:sz w:val="18"/>
          <w:szCs w:val="18"/>
        </w:rPr>
        <w:t>3</w:t>
      </w:r>
      <w:r w:rsidR="0030127D" w:rsidRPr="00596253">
        <w:rPr>
          <w:rFonts w:ascii="Century Gothic" w:hAnsi="Century Gothic"/>
          <w:sz w:val="18"/>
          <w:szCs w:val="18"/>
        </w:rPr>
        <w:t>)</w:t>
      </w:r>
      <w:r w:rsidR="1D819C75" w:rsidRPr="4AF29C48">
        <w:rPr>
          <w:rFonts w:ascii="Century Gothic" w:hAnsi="Century Gothic"/>
          <w:sz w:val="22"/>
          <w:szCs w:val="22"/>
        </w:rPr>
        <w:t xml:space="preserve"> de 2,50 %.</w:t>
      </w:r>
    </w:p>
    <w:p w14:paraId="7B3CB119" w14:textId="77777777" w:rsidR="00C904DF" w:rsidRDefault="00C904DF" w:rsidP="00F844E6">
      <w:pPr>
        <w:ind w:right="254"/>
        <w:jc w:val="both"/>
        <w:rPr>
          <w:rFonts w:ascii="Century Gothic" w:hAnsi="Century Gothic"/>
          <w:sz w:val="22"/>
          <w:szCs w:val="22"/>
        </w:rPr>
      </w:pPr>
    </w:p>
    <w:p w14:paraId="0DAF5FB8" w14:textId="77777777" w:rsidR="002351E5" w:rsidRDefault="002351E5" w:rsidP="00207681">
      <w:pPr>
        <w:ind w:right="254"/>
        <w:jc w:val="both"/>
        <w:rPr>
          <w:rFonts w:ascii="Century Gothic" w:hAnsi="Century Gothic"/>
          <w:sz w:val="20"/>
          <w:szCs w:val="20"/>
        </w:rPr>
      </w:pPr>
    </w:p>
    <w:p w14:paraId="4CF765DA" w14:textId="77777777" w:rsidR="002351E5" w:rsidRPr="002351E5" w:rsidRDefault="002351E5" w:rsidP="00207681">
      <w:pPr>
        <w:ind w:right="254"/>
        <w:jc w:val="both"/>
        <w:rPr>
          <w:rFonts w:ascii="Century Gothic" w:hAnsi="Century Gothic"/>
          <w:sz w:val="20"/>
          <w:szCs w:val="20"/>
        </w:rPr>
      </w:pPr>
    </w:p>
    <w:p w14:paraId="4E722B1B" w14:textId="77777777" w:rsidR="00C779DB" w:rsidRDefault="00C779DB" w:rsidP="4AF29C48">
      <w:pPr>
        <w:ind w:right="254"/>
        <w:jc w:val="both"/>
        <w:rPr>
          <w:rFonts w:ascii="Century Gothic" w:hAnsi="Century Gothic"/>
          <w:sz w:val="22"/>
          <w:szCs w:val="22"/>
        </w:rPr>
      </w:pPr>
    </w:p>
    <w:p w14:paraId="6DE5C91C" w14:textId="24B80515" w:rsidR="1050343E" w:rsidRDefault="1050343E" w:rsidP="4AF29C48">
      <w:pPr>
        <w:ind w:right="254"/>
        <w:jc w:val="both"/>
        <w:rPr>
          <w:rFonts w:ascii="Century Gothic" w:hAnsi="Century Gothic"/>
          <w:sz w:val="22"/>
          <w:szCs w:val="22"/>
        </w:rPr>
      </w:pPr>
      <w:r w:rsidRPr="4AF29C48">
        <w:rPr>
          <w:rFonts w:ascii="Century Gothic" w:hAnsi="Century Gothic"/>
          <w:sz w:val="22"/>
          <w:szCs w:val="22"/>
        </w:rPr>
        <w:t xml:space="preserve">Pour la </w:t>
      </w:r>
      <w:r w:rsidR="00FA7175">
        <w:rPr>
          <w:rFonts w:ascii="Century Gothic" w:hAnsi="Century Gothic"/>
          <w:sz w:val="22"/>
          <w:szCs w:val="22"/>
        </w:rPr>
        <w:t>Retraite</w:t>
      </w:r>
      <w:r w:rsidRPr="4AF29C48">
        <w:rPr>
          <w:rFonts w:ascii="Century Gothic" w:hAnsi="Century Gothic"/>
          <w:sz w:val="22"/>
          <w:szCs w:val="22"/>
        </w:rPr>
        <w:t xml:space="preserve"> Mutualiste du Combattant (RMC), le taux de bonification </w:t>
      </w:r>
      <w:r w:rsidR="00443A21">
        <w:rPr>
          <w:rFonts w:ascii="Century Gothic" w:hAnsi="Century Gothic"/>
          <w:sz w:val="22"/>
          <w:szCs w:val="22"/>
        </w:rPr>
        <w:t xml:space="preserve">moyen </w:t>
      </w:r>
      <w:r w:rsidRPr="4AF29C48">
        <w:rPr>
          <w:rFonts w:ascii="Century Gothic" w:hAnsi="Century Gothic"/>
          <w:sz w:val="22"/>
          <w:szCs w:val="22"/>
        </w:rPr>
        <w:t>du portefeuille est de 2,</w:t>
      </w:r>
      <w:r w:rsidR="00443A21">
        <w:rPr>
          <w:rFonts w:ascii="Century Gothic" w:hAnsi="Century Gothic"/>
          <w:sz w:val="22"/>
          <w:szCs w:val="22"/>
        </w:rPr>
        <w:t>05</w:t>
      </w:r>
      <w:r w:rsidR="7BEBA17C" w:rsidRPr="4AF29C48">
        <w:rPr>
          <w:rFonts w:ascii="Century Gothic" w:hAnsi="Century Gothic"/>
          <w:sz w:val="22"/>
          <w:szCs w:val="22"/>
        </w:rPr>
        <w:t>%</w:t>
      </w:r>
      <w:r w:rsidR="0030127D">
        <w:rPr>
          <w:rFonts w:ascii="Century Gothic" w:hAnsi="Century Gothic"/>
          <w:sz w:val="22"/>
          <w:szCs w:val="22"/>
        </w:rPr>
        <w:t xml:space="preserve"> </w:t>
      </w:r>
      <w:r w:rsidR="0030127D" w:rsidRPr="0030127D">
        <w:rPr>
          <w:rFonts w:ascii="Century Gothic" w:hAnsi="Century Gothic"/>
          <w:sz w:val="18"/>
          <w:szCs w:val="18"/>
        </w:rPr>
        <w:t>(3)</w:t>
      </w:r>
      <w:r w:rsidR="7BEBA17C" w:rsidRPr="4AF29C48">
        <w:rPr>
          <w:rFonts w:ascii="Century Gothic" w:hAnsi="Century Gothic"/>
          <w:sz w:val="22"/>
          <w:szCs w:val="22"/>
        </w:rPr>
        <w:t xml:space="preserve"> en 2022.</w:t>
      </w:r>
    </w:p>
    <w:p w14:paraId="363FF301" w14:textId="6EC7C15B" w:rsidR="00AE2D5A" w:rsidRDefault="00AE2D5A" w:rsidP="00AE2D5A">
      <w:pPr>
        <w:ind w:right="254"/>
        <w:jc w:val="center"/>
      </w:pPr>
    </w:p>
    <w:p w14:paraId="267296BD" w14:textId="7EDBAD56" w:rsidR="00823B68" w:rsidRPr="00451837" w:rsidRDefault="00823B68" w:rsidP="00823B68">
      <w:pPr>
        <w:ind w:right="537"/>
        <w:jc w:val="both"/>
        <w:rPr>
          <w:rFonts w:ascii="Century Gothic" w:hAnsi="Century Gothic" w:cs="Times New Roman (Corps CS)"/>
          <w:bCs/>
          <w:sz w:val="22"/>
          <w:szCs w:val="22"/>
        </w:rPr>
      </w:pPr>
      <w:r>
        <w:rPr>
          <w:rFonts w:ascii="Century Gothic" w:hAnsi="Century Gothic"/>
          <w:i/>
          <w:iCs/>
          <w:sz w:val="22"/>
          <w:szCs w:val="22"/>
        </w:rPr>
        <w:t>« </w:t>
      </w:r>
      <w:r w:rsidRPr="00BE6A55">
        <w:rPr>
          <w:rFonts w:ascii="Century Gothic" w:hAnsi="Century Gothic"/>
          <w:i/>
          <w:iCs/>
          <w:sz w:val="22"/>
          <w:szCs w:val="22"/>
        </w:rPr>
        <w:t xml:space="preserve">Le positionnement de l’actif général de la Carac et la gestion active et opportuniste mise en œuvre ont permis de pleinement profiter de </w:t>
      </w:r>
      <w:r w:rsidR="00D71A74">
        <w:rPr>
          <w:rFonts w:ascii="Century Gothic" w:hAnsi="Century Gothic"/>
          <w:i/>
          <w:iCs/>
          <w:sz w:val="22"/>
          <w:szCs w:val="22"/>
        </w:rPr>
        <w:t xml:space="preserve">la </w:t>
      </w:r>
      <w:r w:rsidRPr="00BE6A55">
        <w:rPr>
          <w:rFonts w:ascii="Century Gothic" w:hAnsi="Century Gothic"/>
          <w:i/>
          <w:iCs/>
          <w:sz w:val="22"/>
          <w:szCs w:val="22"/>
        </w:rPr>
        <w:t xml:space="preserve">forte remontée </w:t>
      </w:r>
      <w:r w:rsidR="51AB4F0C" w:rsidRPr="4AF29C48">
        <w:rPr>
          <w:rFonts w:ascii="Century Gothic" w:hAnsi="Century Gothic"/>
          <w:i/>
          <w:iCs/>
          <w:sz w:val="22"/>
          <w:szCs w:val="22"/>
        </w:rPr>
        <w:t>des</w:t>
      </w:r>
      <w:r w:rsidRPr="4AF29C48">
        <w:rPr>
          <w:rFonts w:ascii="Century Gothic" w:hAnsi="Century Gothic"/>
          <w:i/>
          <w:iCs/>
          <w:sz w:val="22"/>
          <w:szCs w:val="22"/>
        </w:rPr>
        <w:t xml:space="preserve"> </w:t>
      </w:r>
      <w:r w:rsidR="00D71A74">
        <w:rPr>
          <w:rFonts w:ascii="Century Gothic" w:hAnsi="Century Gothic"/>
          <w:i/>
          <w:iCs/>
          <w:sz w:val="22"/>
          <w:szCs w:val="22"/>
        </w:rPr>
        <w:t>taux</w:t>
      </w:r>
      <w:r w:rsidRPr="00BE6A55">
        <w:rPr>
          <w:rFonts w:ascii="Century Gothic" w:hAnsi="Century Gothic"/>
          <w:i/>
          <w:iCs/>
          <w:sz w:val="22"/>
          <w:szCs w:val="22"/>
        </w:rPr>
        <w:t xml:space="preserve"> obligataires en 2022 tout en réduisant le risque de crédit du portefeuille</w:t>
      </w:r>
      <w:r w:rsidR="00230AC6">
        <w:rPr>
          <w:rFonts w:ascii="Century Gothic" w:hAnsi="Century Gothic"/>
          <w:i/>
          <w:iCs/>
          <w:sz w:val="22"/>
          <w:szCs w:val="22"/>
        </w:rPr>
        <w:t xml:space="preserve">. </w:t>
      </w:r>
      <w:r w:rsidR="00F24EB0">
        <w:rPr>
          <w:rFonts w:ascii="Century Gothic" w:hAnsi="Century Gothic"/>
          <w:i/>
          <w:iCs/>
          <w:sz w:val="22"/>
          <w:szCs w:val="22"/>
        </w:rPr>
        <w:t>Par ailleurs, nous avons renforcé</w:t>
      </w:r>
      <w:r w:rsidRPr="00BE6A55">
        <w:rPr>
          <w:rFonts w:ascii="Century Gothic" w:hAnsi="Century Gothic"/>
          <w:i/>
          <w:iCs/>
          <w:sz w:val="22"/>
          <w:szCs w:val="22"/>
        </w:rPr>
        <w:t xml:space="preserve"> nos engagements sociaux et environnementaux</w:t>
      </w:r>
      <w:r w:rsidR="000F1F19">
        <w:rPr>
          <w:rFonts w:ascii="Century Gothic" w:hAnsi="Century Gothic"/>
          <w:i/>
          <w:iCs/>
          <w:sz w:val="22"/>
          <w:szCs w:val="22"/>
        </w:rPr>
        <w:t>, 25</w:t>
      </w:r>
      <w:r w:rsidR="006D7563">
        <w:rPr>
          <w:rFonts w:ascii="Century Gothic" w:hAnsi="Century Gothic"/>
          <w:i/>
          <w:iCs/>
          <w:sz w:val="22"/>
          <w:szCs w:val="22"/>
        </w:rPr>
        <w:t xml:space="preserve">% de nos achats obligataires </w:t>
      </w:r>
      <w:r w:rsidR="00DA1971">
        <w:rPr>
          <w:rFonts w:ascii="Century Gothic" w:hAnsi="Century Gothic"/>
          <w:i/>
          <w:iCs/>
          <w:sz w:val="22"/>
          <w:szCs w:val="22"/>
        </w:rPr>
        <w:t xml:space="preserve">ayant portés sur des obligations vertes ou </w:t>
      </w:r>
      <w:r w:rsidR="00DA1971" w:rsidRPr="4AF29C48">
        <w:rPr>
          <w:rFonts w:ascii="Century Gothic" w:hAnsi="Century Gothic"/>
          <w:i/>
          <w:iCs/>
          <w:sz w:val="22"/>
          <w:szCs w:val="22"/>
        </w:rPr>
        <w:t>sociale</w:t>
      </w:r>
      <w:r w:rsidR="006F261A">
        <w:rPr>
          <w:rFonts w:ascii="Century Gothic" w:hAnsi="Century Gothic"/>
          <w:i/>
          <w:iCs/>
          <w:sz w:val="22"/>
          <w:szCs w:val="22"/>
        </w:rPr>
        <w:t>s</w:t>
      </w:r>
      <w:r w:rsidR="55D8B197" w:rsidRPr="4AF29C48">
        <w:rPr>
          <w:rFonts w:ascii="Century Gothic" w:hAnsi="Century Gothic"/>
          <w:i/>
          <w:iCs/>
          <w:sz w:val="22"/>
          <w:szCs w:val="22"/>
        </w:rPr>
        <w:t xml:space="preserve"> </w:t>
      </w:r>
      <w:r w:rsidRPr="4AF29C48">
        <w:rPr>
          <w:rFonts w:ascii="Century Gothic" w:hAnsi="Century Gothic"/>
          <w:i/>
          <w:iCs/>
          <w:sz w:val="22"/>
          <w:szCs w:val="22"/>
        </w:rPr>
        <w:t>»,</w:t>
      </w:r>
      <w:r w:rsidRPr="00046C22">
        <w:rPr>
          <w:rFonts w:ascii="Century Gothic" w:hAnsi="Century Gothic"/>
          <w:i/>
          <w:iCs/>
          <w:sz w:val="22"/>
          <w:szCs w:val="22"/>
        </w:rPr>
        <w:t xml:space="preserve"> </w:t>
      </w:r>
      <w:r>
        <w:rPr>
          <w:rFonts w:ascii="Century Gothic" w:hAnsi="Century Gothic"/>
          <w:i/>
          <w:iCs/>
          <w:sz w:val="22"/>
          <w:szCs w:val="22"/>
        </w:rPr>
        <w:t>explique Fabrice Hammouche,</w:t>
      </w:r>
      <w:r w:rsidR="00047DC9">
        <w:rPr>
          <w:rFonts w:ascii="Century Gothic" w:hAnsi="Century Gothic"/>
          <w:i/>
          <w:iCs/>
          <w:sz w:val="22"/>
          <w:szCs w:val="22"/>
        </w:rPr>
        <w:t xml:space="preserve"> </w:t>
      </w:r>
      <w:r>
        <w:rPr>
          <w:rFonts w:ascii="Century Gothic" w:hAnsi="Century Gothic"/>
          <w:i/>
          <w:iCs/>
          <w:sz w:val="22"/>
          <w:szCs w:val="22"/>
        </w:rPr>
        <w:t>Directeur des Investissements</w:t>
      </w:r>
      <w:r w:rsidRPr="00451837">
        <w:rPr>
          <w:rFonts w:ascii="Century Gothic" w:hAnsi="Century Gothic"/>
          <w:i/>
          <w:iCs/>
          <w:sz w:val="22"/>
          <w:szCs w:val="22"/>
        </w:rPr>
        <w:t>.</w:t>
      </w:r>
    </w:p>
    <w:p w14:paraId="150D881C" w14:textId="77777777" w:rsidR="00823B68" w:rsidRDefault="00823B68" w:rsidP="00823B68">
      <w:pPr>
        <w:ind w:right="537"/>
        <w:jc w:val="both"/>
        <w:rPr>
          <w:rFonts w:ascii="Century Gothic" w:hAnsi="Century Gothic"/>
          <w:i/>
          <w:iCs/>
          <w:sz w:val="22"/>
          <w:szCs w:val="22"/>
        </w:rPr>
      </w:pPr>
    </w:p>
    <w:p w14:paraId="0CFD8611" w14:textId="77777777" w:rsidR="00215F11" w:rsidRDefault="00823B68" w:rsidP="00823B68">
      <w:pPr>
        <w:ind w:right="254"/>
        <w:jc w:val="both"/>
        <w:rPr>
          <w:rFonts w:ascii="Century Gothic" w:hAnsi="Century Gothic"/>
          <w:sz w:val="22"/>
          <w:szCs w:val="22"/>
        </w:rPr>
      </w:pPr>
      <w:r w:rsidRPr="00215F11">
        <w:rPr>
          <w:rFonts w:ascii="Century Gothic" w:hAnsi="Century Gothic"/>
          <w:b/>
          <w:bCs/>
          <w:sz w:val="22"/>
          <w:szCs w:val="22"/>
        </w:rPr>
        <w:t xml:space="preserve">L’actif général de la Carac a débuté l’année 2022 avec un positionnement prudent et </w:t>
      </w:r>
      <w:r w:rsidR="00CC12C8" w:rsidRPr="00215F11">
        <w:rPr>
          <w:rFonts w:ascii="Century Gothic" w:hAnsi="Century Gothic"/>
          <w:b/>
          <w:bCs/>
          <w:sz w:val="22"/>
          <w:szCs w:val="22"/>
        </w:rPr>
        <w:t>d’importantes liquidités</w:t>
      </w:r>
      <w:r w:rsidRPr="00215F11">
        <w:rPr>
          <w:rFonts w:ascii="Century Gothic" w:hAnsi="Century Gothic"/>
          <w:b/>
          <w:bCs/>
          <w:sz w:val="22"/>
          <w:szCs w:val="22"/>
        </w:rPr>
        <w:t xml:space="preserve"> </w:t>
      </w:r>
      <w:r w:rsidR="00293CCB" w:rsidRPr="00215F11">
        <w:rPr>
          <w:rFonts w:ascii="Century Gothic" w:hAnsi="Century Gothic"/>
          <w:b/>
          <w:bCs/>
          <w:sz w:val="22"/>
          <w:szCs w:val="22"/>
        </w:rPr>
        <w:t xml:space="preserve">constituées dans un environnement de taux bas </w:t>
      </w:r>
      <w:r w:rsidRPr="00215F11">
        <w:rPr>
          <w:rFonts w:ascii="Century Gothic" w:hAnsi="Century Gothic"/>
          <w:b/>
          <w:bCs/>
          <w:sz w:val="22"/>
          <w:szCs w:val="22"/>
        </w:rPr>
        <w:t xml:space="preserve">qui lui ont permis de capter les opportunités qui se sont présentées </w:t>
      </w:r>
      <w:r w:rsidR="00CC12C8" w:rsidRPr="00215F11">
        <w:rPr>
          <w:rFonts w:ascii="Century Gothic" w:hAnsi="Century Gothic"/>
          <w:b/>
          <w:bCs/>
          <w:sz w:val="22"/>
          <w:szCs w:val="22"/>
        </w:rPr>
        <w:t>tout au long de l’année</w:t>
      </w:r>
      <w:r w:rsidRPr="005F2BF3">
        <w:rPr>
          <w:rFonts w:ascii="Century Gothic" w:hAnsi="Century Gothic"/>
          <w:sz w:val="22"/>
          <w:szCs w:val="22"/>
        </w:rPr>
        <w:t xml:space="preserve">. </w:t>
      </w:r>
    </w:p>
    <w:p w14:paraId="432B5D88" w14:textId="5BBA167C" w:rsidR="00823B68" w:rsidRDefault="00823B68" w:rsidP="00823B68">
      <w:pPr>
        <w:ind w:right="254"/>
        <w:jc w:val="both"/>
        <w:rPr>
          <w:rFonts w:ascii="Century Gothic" w:hAnsi="Century Gothic"/>
          <w:sz w:val="22"/>
          <w:szCs w:val="22"/>
        </w:rPr>
      </w:pPr>
      <w:r w:rsidRPr="005F2BF3">
        <w:rPr>
          <w:rFonts w:ascii="Century Gothic" w:hAnsi="Century Gothic"/>
          <w:sz w:val="22"/>
          <w:szCs w:val="22"/>
        </w:rPr>
        <w:t>En parallèle, la forte performance des marchés actions enregistrée en 2021 avait incité à la prudence et des protections à la baisse du marché actions avaient été mises en place.</w:t>
      </w:r>
    </w:p>
    <w:p w14:paraId="71B00F8F" w14:textId="77777777" w:rsidR="00823B68" w:rsidRDefault="00823B68" w:rsidP="00823B68">
      <w:pPr>
        <w:ind w:right="254"/>
        <w:jc w:val="both"/>
        <w:rPr>
          <w:rFonts w:ascii="Century Gothic" w:hAnsi="Century Gothic"/>
          <w:sz w:val="22"/>
          <w:szCs w:val="22"/>
        </w:rPr>
      </w:pPr>
    </w:p>
    <w:p w14:paraId="7DB3DAE6" w14:textId="19C0D38B" w:rsidR="00823B68" w:rsidRDefault="00876438" w:rsidP="00823B68">
      <w:pPr>
        <w:ind w:right="254"/>
        <w:jc w:val="both"/>
        <w:rPr>
          <w:rFonts w:ascii="Century Gothic" w:hAnsi="Century Gothic"/>
          <w:sz w:val="22"/>
          <w:szCs w:val="22"/>
        </w:rPr>
      </w:pPr>
      <w:r w:rsidRPr="00C0700E">
        <w:rPr>
          <w:rFonts w:ascii="Century Gothic" w:hAnsi="Century Gothic"/>
          <w:b/>
          <w:bCs/>
          <w:sz w:val="22"/>
          <w:szCs w:val="22"/>
        </w:rPr>
        <w:t>Sur son portefeuille obligataire</w:t>
      </w:r>
      <w:r w:rsidR="00823B68">
        <w:rPr>
          <w:rFonts w:ascii="Century Gothic" w:hAnsi="Century Gothic"/>
          <w:sz w:val="22"/>
          <w:szCs w:val="22"/>
        </w:rPr>
        <w:t>, l</w:t>
      </w:r>
      <w:r w:rsidR="00823B68" w:rsidRPr="000416EE">
        <w:rPr>
          <w:rFonts w:ascii="Century Gothic" w:hAnsi="Century Gothic"/>
          <w:sz w:val="22"/>
          <w:szCs w:val="22"/>
        </w:rPr>
        <w:t xml:space="preserve">es périodes de fortes tensions observées </w:t>
      </w:r>
      <w:r w:rsidR="00AC6854">
        <w:rPr>
          <w:rFonts w:ascii="Century Gothic" w:hAnsi="Century Gothic"/>
          <w:sz w:val="22"/>
          <w:szCs w:val="22"/>
        </w:rPr>
        <w:t xml:space="preserve">sur les mois de </w:t>
      </w:r>
      <w:r w:rsidR="005323F9">
        <w:rPr>
          <w:rFonts w:ascii="Century Gothic" w:hAnsi="Century Gothic"/>
          <w:sz w:val="22"/>
          <w:szCs w:val="22"/>
        </w:rPr>
        <w:t xml:space="preserve">juin, octobre et décembre </w:t>
      </w:r>
      <w:r w:rsidR="00823B68" w:rsidRPr="000416EE">
        <w:rPr>
          <w:rFonts w:ascii="Century Gothic" w:hAnsi="Century Gothic"/>
          <w:sz w:val="22"/>
          <w:szCs w:val="22"/>
        </w:rPr>
        <w:t>tant sur les taux</w:t>
      </w:r>
      <w:r w:rsidR="00823B68">
        <w:rPr>
          <w:rFonts w:ascii="Century Gothic" w:hAnsi="Century Gothic"/>
          <w:sz w:val="22"/>
          <w:szCs w:val="22"/>
        </w:rPr>
        <w:t xml:space="preserve"> d’intérêt</w:t>
      </w:r>
      <w:r w:rsidR="00823B68" w:rsidRPr="000416EE">
        <w:rPr>
          <w:rFonts w:ascii="Century Gothic" w:hAnsi="Century Gothic"/>
          <w:sz w:val="22"/>
          <w:szCs w:val="22"/>
        </w:rPr>
        <w:t xml:space="preserve"> que sur les primes de risque du marché du crédit </w:t>
      </w:r>
      <w:r w:rsidR="00823B68">
        <w:rPr>
          <w:rFonts w:ascii="Century Gothic" w:hAnsi="Century Gothic"/>
          <w:sz w:val="22"/>
          <w:szCs w:val="22"/>
        </w:rPr>
        <w:t>ont été mises à profit</w:t>
      </w:r>
      <w:r w:rsidR="00823B68" w:rsidRPr="000416EE">
        <w:rPr>
          <w:rFonts w:ascii="Century Gothic" w:hAnsi="Century Gothic"/>
          <w:sz w:val="22"/>
          <w:szCs w:val="22"/>
        </w:rPr>
        <w:t xml:space="preserve"> pour accélérer massivement </w:t>
      </w:r>
      <w:r w:rsidR="00823B68">
        <w:rPr>
          <w:rFonts w:ascii="Century Gothic" w:hAnsi="Century Gothic"/>
          <w:sz w:val="22"/>
          <w:szCs w:val="22"/>
        </w:rPr>
        <w:t>le rythme</w:t>
      </w:r>
      <w:r w:rsidR="00823B68" w:rsidRPr="000416EE">
        <w:rPr>
          <w:rFonts w:ascii="Century Gothic" w:hAnsi="Century Gothic"/>
          <w:sz w:val="22"/>
          <w:szCs w:val="22"/>
        </w:rPr>
        <w:t xml:space="preserve"> d</w:t>
      </w:r>
      <w:r w:rsidR="00823B68">
        <w:rPr>
          <w:rFonts w:ascii="Century Gothic" w:hAnsi="Century Gothic"/>
          <w:sz w:val="22"/>
          <w:szCs w:val="22"/>
        </w:rPr>
        <w:t xml:space="preserve">es investissements obligataires </w:t>
      </w:r>
      <w:r w:rsidR="00823B68" w:rsidRPr="000416EE">
        <w:rPr>
          <w:rFonts w:ascii="Century Gothic" w:hAnsi="Century Gothic"/>
          <w:sz w:val="22"/>
          <w:szCs w:val="22"/>
        </w:rPr>
        <w:t>tant sur les marchés primaires que secondaires. Ces achats ont permis à la fois de rehausser le score de notation du portefeuille obligataire ainsi que d’en augmenter le rendement mettant fin au phénomène de dilution constaté ces dernières années. Plus d’un tiers des montants investis a porté sur des émetteurs publics (souverains et supranationaux) garantissant ainsi sécurité et liquidité du portefeuille obligataire.</w:t>
      </w:r>
      <w:r w:rsidR="00E53DF2">
        <w:rPr>
          <w:rFonts w:ascii="Century Gothic" w:hAnsi="Century Gothic"/>
          <w:sz w:val="22"/>
          <w:szCs w:val="22"/>
        </w:rPr>
        <w:t xml:space="preserve"> </w:t>
      </w:r>
      <w:r w:rsidR="00823B68" w:rsidRPr="000416EE">
        <w:rPr>
          <w:rFonts w:ascii="Century Gothic" w:hAnsi="Century Gothic"/>
          <w:sz w:val="22"/>
          <w:szCs w:val="22"/>
        </w:rPr>
        <w:t>De façon opportuniste, des opérations d’arbitrage ont été également mises à profit pour accroitre le rendement du portefeuille</w:t>
      </w:r>
      <w:r w:rsidR="00823B68">
        <w:rPr>
          <w:rFonts w:ascii="Century Gothic" w:hAnsi="Century Gothic"/>
          <w:sz w:val="22"/>
          <w:szCs w:val="22"/>
        </w:rPr>
        <w:t>.</w:t>
      </w:r>
    </w:p>
    <w:p w14:paraId="714EFB5C" w14:textId="4ECBCED5" w:rsidR="001648FD" w:rsidRDefault="001648FD" w:rsidP="00823B68">
      <w:pPr>
        <w:ind w:right="254"/>
        <w:jc w:val="both"/>
        <w:rPr>
          <w:rFonts w:ascii="Century Gothic" w:hAnsi="Century Gothic"/>
          <w:sz w:val="22"/>
          <w:szCs w:val="22"/>
        </w:rPr>
      </w:pPr>
      <w:r>
        <w:rPr>
          <w:rFonts w:ascii="Century Gothic" w:hAnsi="Century Gothic"/>
          <w:sz w:val="22"/>
          <w:szCs w:val="22"/>
        </w:rPr>
        <w:t>Le portefeuille obligataire de la Carac à fin 2022 dispose d’une grande qualité de crédit avec une notation moyenne de A ainsi que d’une forte liquidité.</w:t>
      </w:r>
    </w:p>
    <w:p w14:paraId="1C8AB244" w14:textId="77777777" w:rsidR="00E8728C" w:rsidRDefault="00E8728C" w:rsidP="00823B68">
      <w:pPr>
        <w:ind w:right="254"/>
        <w:jc w:val="both"/>
        <w:rPr>
          <w:rFonts w:ascii="Century Gothic" w:hAnsi="Century Gothic"/>
          <w:sz w:val="22"/>
          <w:szCs w:val="22"/>
        </w:rPr>
      </w:pPr>
    </w:p>
    <w:p w14:paraId="006B806F" w14:textId="477CDF2E" w:rsidR="00AE2D5A" w:rsidRDefault="00823B68" w:rsidP="00823B68">
      <w:pPr>
        <w:ind w:right="254"/>
        <w:jc w:val="both"/>
        <w:rPr>
          <w:rFonts w:ascii="Century Gothic" w:hAnsi="Century Gothic"/>
          <w:sz w:val="22"/>
          <w:szCs w:val="22"/>
        </w:rPr>
      </w:pPr>
      <w:r w:rsidRPr="00C0700E">
        <w:rPr>
          <w:rFonts w:ascii="Century Gothic" w:hAnsi="Century Gothic"/>
          <w:b/>
          <w:bCs/>
          <w:sz w:val="22"/>
          <w:szCs w:val="22"/>
        </w:rPr>
        <w:t>Sur son portefeuille d’actions cotées</w:t>
      </w:r>
      <w:r w:rsidRPr="00C60DA0">
        <w:rPr>
          <w:rFonts w:ascii="Century Gothic" w:hAnsi="Century Gothic"/>
          <w:sz w:val="22"/>
          <w:szCs w:val="22"/>
        </w:rPr>
        <w:t xml:space="preserve">, la Carac a également été active et a pu exploiter la volatilité offerte par les marchés en 2022. L’exposition à la classe d’actifs a été réduite dès le mois de janvier, permettant ainsi de contribuer à l’objectif de plus-values annuelles. En parallèle, la mise en place de protections en 2021 a permis de traverser le stress des marchés sereinement. Ces protections ont été activées lorsque les actions ont chuté, générant là aussi un résultat positif pour le rendement du fonds en euros. Post-déclenchement de la guerre en Ukraine, l’exposition a été renforcée. </w:t>
      </w:r>
      <w:proofErr w:type="gramStart"/>
      <w:r>
        <w:rPr>
          <w:rFonts w:ascii="Century Gothic" w:hAnsi="Century Gothic"/>
          <w:sz w:val="22"/>
          <w:szCs w:val="22"/>
        </w:rPr>
        <w:t>Suite</w:t>
      </w:r>
      <w:r w:rsidR="00291A4C">
        <w:rPr>
          <w:rFonts w:ascii="Century Gothic" w:hAnsi="Century Gothic"/>
          <w:sz w:val="22"/>
          <w:szCs w:val="22"/>
        </w:rPr>
        <w:t xml:space="preserve"> </w:t>
      </w:r>
      <w:r>
        <w:rPr>
          <w:rFonts w:ascii="Century Gothic" w:hAnsi="Century Gothic"/>
          <w:sz w:val="22"/>
          <w:szCs w:val="22"/>
        </w:rPr>
        <w:t>à</w:t>
      </w:r>
      <w:proofErr w:type="gramEnd"/>
      <w:r>
        <w:rPr>
          <w:rFonts w:ascii="Century Gothic" w:hAnsi="Century Gothic"/>
          <w:sz w:val="22"/>
          <w:szCs w:val="22"/>
        </w:rPr>
        <w:t xml:space="preserve"> </w:t>
      </w:r>
      <w:r w:rsidRPr="00C60DA0">
        <w:rPr>
          <w:rFonts w:ascii="Century Gothic" w:hAnsi="Century Gothic"/>
          <w:sz w:val="22"/>
          <w:szCs w:val="22"/>
        </w:rPr>
        <w:t xml:space="preserve">la violente vague haussière de l’été, des prises de profits ont de nouveau été réalisées, permettant de ramener l’exposition actions dans le bas de sa fourchette cible. De nouvelles protections ont </w:t>
      </w:r>
      <w:r>
        <w:rPr>
          <w:rFonts w:ascii="Century Gothic" w:hAnsi="Century Gothic"/>
          <w:sz w:val="22"/>
          <w:szCs w:val="22"/>
        </w:rPr>
        <w:t xml:space="preserve">pu </w:t>
      </w:r>
      <w:r w:rsidRPr="00C60DA0">
        <w:rPr>
          <w:rFonts w:ascii="Century Gothic" w:hAnsi="Century Gothic"/>
          <w:sz w:val="22"/>
          <w:szCs w:val="22"/>
        </w:rPr>
        <w:t xml:space="preserve">également </w:t>
      </w:r>
      <w:r>
        <w:rPr>
          <w:rFonts w:ascii="Century Gothic" w:hAnsi="Century Gothic"/>
          <w:sz w:val="22"/>
          <w:szCs w:val="22"/>
        </w:rPr>
        <w:t>être</w:t>
      </w:r>
      <w:r w:rsidRPr="00C60DA0">
        <w:rPr>
          <w:rFonts w:ascii="Century Gothic" w:hAnsi="Century Gothic"/>
          <w:sz w:val="22"/>
          <w:szCs w:val="22"/>
        </w:rPr>
        <w:t xml:space="preserve"> mises en place, proche des plus hauts niveaux de l’année</w:t>
      </w:r>
      <w:r>
        <w:rPr>
          <w:rFonts w:ascii="Century Gothic" w:hAnsi="Century Gothic"/>
          <w:sz w:val="22"/>
          <w:szCs w:val="22"/>
        </w:rPr>
        <w:t>.</w:t>
      </w:r>
    </w:p>
    <w:p w14:paraId="078AA62B" w14:textId="77777777" w:rsidR="00215F11" w:rsidRDefault="00215F11" w:rsidP="00823B68">
      <w:pPr>
        <w:ind w:right="254"/>
        <w:jc w:val="both"/>
        <w:rPr>
          <w:rFonts w:ascii="Century Gothic" w:hAnsi="Century Gothic"/>
          <w:sz w:val="22"/>
          <w:szCs w:val="22"/>
        </w:rPr>
      </w:pPr>
    </w:p>
    <w:p w14:paraId="18FCF008" w14:textId="745C517B" w:rsidR="00457428" w:rsidRPr="00457428" w:rsidRDefault="007F48A3" w:rsidP="00457428">
      <w:pPr>
        <w:ind w:right="254"/>
        <w:jc w:val="both"/>
        <w:rPr>
          <w:rFonts w:ascii="Century Gothic" w:hAnsi="Century Gothic"/>
          <w:sz w:val="22"/>
          <w:szCs w:val="22"/>
        </w:rPr>
      </w:pPr>
      <w:r w:rsidRPr="00953E60">
        <w:rPr>
          <w:rFonts w:ascii="Century Gothic" w:hAnsi="Century Gothic"/>
          <w:b/>
          <w:bCs/>
          <w:sz w:val="22"/>
          <w:szCs w:val="22"/>
        </w:rPr>
        <w:t xml:space="preserve">Sur sa classe d’actifs </w:t>
      </w:r>
      <w:r w:rsidR="00953E60" w:rsidRPr="00953E60">
        <w:rPr>
          <w:rFonts w:ascii="Century Gothic" w:hAnsi="Century Gothic"/>
          <w:b/>
          <w:bCs/>
          <w:sz w:val="22"/>
          <w:szCs w:val="22"/>
        </w:rPr>
        <w:t>immobiliers,</w:t>
      </w:r>
      <w:r w:rsidR="00953E60">
        <w:rPr>
          <w:rFonts w:ascii="Century Gothic" w:hAnsi="Century Gothic"/>
          <w:sz w:val="22"/>
          <w:szCs w:val="22"/>
        </w:rPr>
        <w:t xml:space="preserve"> d</w:t>
      </w:r>
      <w:r w:rsidR="00457428" w:rsidRPr="00457428">
        <w:rPr>
          <w:rFonts w:ascii="Century Gothic" w:hAnsi="Century Gothic"/>
          <w:sz w:val="22"/>
          <w:szCs w:val="22"/>
        </w:rPr>
        <w:t>ans ce contexte de durcissement monétaire et de forte remontée des taux d’intérêt, la Carac s’est montrée prudente jugeant qu’un ajustement des valorisations devrait s’opérer si ces conditions financières venaient à se stabiliser voir se dégrader.</w:t>
      </w:r>
    </w:p>
    <w:p w14:paraId="3A9130AF" w14:textId="6C87D82B" w:rsidR="00457428" w:rsidRPr="00457428" w:rsidRDefault="00457428" w:rsidP="00457428">
      <w:pPr>
        <w:ind w:right="254"/>
        <w:jc w:val="both"/>
        <w:rPr>
          <w:rFonts w:ascii="Century Gothic" w:hAnsi="Century Gothic"/>
          <w:sz w:val="22"/>
          <w:szCs w:val="22"/>
        </w:rPr>
      </w:pPr>
      <w:r w:rsidRPr="00457428">
        <w:rPr>
          <w:rFonts w:ascii="Century Gothic" w:hAnsi="Century Gothic"/>
          <w:sz w:val="22"/>
          <w:szCs w:val="22"/>
        </w:rPr>
        <w:t xml:space="preserve">Pour nous prémunir d’une </w:t>
      </w:r>
      <w:r w:rsidR="00372F7A">
        <w:rPr>
          <w:rFonts w:ascii="Century Gothic" w:hAnsi="Century Gothic"/>
          <w:sz w:val="22"/>
          <w:szCs w:val="22"/>
        </w:rPr>
        <w:t>baisse</w:t>
      </w:r>
      <w:r w:rsidRPr="00457428">
        <w:rPr>
          <w:rFonts w:ascii="Century Gothic" w:hAnsi="Century Gothic"/>
          <w:sz w:val="22"/>
          <w:szCs w:val="22"/>
        </w:rPr>
        <w:t xml:space="preserve"> des valorisations, nos investissements sur la classe d’actifs ont principalement porté sur des fonds à création de valeur par le repositionnement d’actifs et la promotion immobilière sur les secteurs résidentiels et de la santé. Nous avons également renforcé nos investissements sur le secteur commerce et particulièrement sur le secteur des </w:t>
      </w:r>
      <w:proofErr w:type="spellStart"/>
      <w:r w:rsidRPr="00457428">
        <w:rPr>
          <w:rFonts w:ascii="Century Gothic" w:hAnsi="Century Gothic"/>
          <w:sz w:val="22"/>
          <w:szCs w:val="22"/>
        </w:rPr>
        <w:t>retail</w:t>
      </w:r>
      <w:proofErr w:type="spellEnd"/>
      <w:r w:rsidRPr="00457428">
        <w:rPr>
          <w:rFonts w:ascii="Century Gothic" w:hAnsi="Century Gothic"/>
          <w:sz w:val="22"/>
          <w:szCs w:val="22"/>
        </w:rPr>
        <w:t xml:space="preserve"> </w:t>
      </w:r>
      <w:proofErr w:type="spellStart"/>
      <w:r w:rsidRPr="00457428">
        <w:rPr>
          <w:rFonts w:ascii="Century Gothic" w:hAnsi="Century Gothic"/>
          <w:sz w:val="22"/>
          <w:szCs w:val="22"/>
        </w:rPr>
        <w:t>park</w:t>
      </w:r>
      <w:proofErr w:type="spellEnd"/>
      <w:r w:rsidRPr="00457428">
        <w:rPr>
          <w:rFonts w:ascii="Century Gothic" w:hAnsi="Century Gothic"/>
          <w:sz w:val="22"/>
          <w:szCs w:val="22"/>
        </w:rPr>
        <w:t xml:space="preserve"> pour sa résilience dans ce contexte économique et ses rendements qui demeurent attractifs.</w:t>
      </w:r>
    </w:p>
    <w:p w14:paraId="692CEBED" w14:textId="6F0571E1" w:rsidR="00215F11" w:rsidRPr="00457428" w:rsidRDefault="00457428" w:rsidP="00457428">
      <w:pPr>
        <w:ind w:right="254"/>
        <w:jc w:val="both"/>
        <w:rPr>
          <w:rFonts w:ascii="Century Gothic" w:hAnsi="Century Gothic"/>
          <w:sz w:val="22"/>
          <w:szCs w:val="22"/>
        </w:rPr>
      </w:pPr>
      <w:r w:rsidRPr="00457428">
        <w:rPr>
          <w:rFonts w:ascii="Century Gothic" w:hAnsi="Century Gothic"/>
          <w:sz w:val="22"/>
          <w:szCs w:val="22"/>
        </w:rPr>
        <w:t>Une opération de cession d’un immeuble résidentiel parisien a pu également être réalisée avant l’été dans de bonnes conditions.</w:t>
      </w:r>
    </w:p>
    <w:p w14:paraId="5D1F2F88" w14:textId="77777777" w:rsidR="00D400DA" w:rsidRDefault="00D400DA" w:rsidP="00823B68">
      <w:pPr>
        <w:ind w:right="254"/>
        <w:jc w:val="both"/>
        <w:rPr>
          <w:rFonts w:ascii="Century Gothic" w:hAnsi="Century Gothic"/>
          <w:sz w:val="22"/>
          <w:szCs w:val="22"/>
        </w:rPr>
      </w:pPr>
    </w:p>
    <w:p w14:paraId="15AA29EA" w14:textId="0CBFD44F" w:rsidR="00D400DA" w:rsidRDefault="00051431" w:rsidP="00823B68">
      <w:pPr>
        <w:ind w:right="254"/>
        <w:jc w:val="both"/>
      </w:pPr>
      <w:r>
        <w:rPr>
          <w:noProof/>
        </w:rPr>
        <w:lastRenderedPageBreak/>
        <w:drawing>
          <wp:inline distT="0" distB="0" distL="0" distR="0" wp14:anchorId="36409D89" wp14:editId="1735F106">
            <wp:extent cx="5544000" cy="3628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44000" cy="3628800"/>
                    </a:xfrm>
                    <a:prstGeom prst="rect">
                      <a:avLst/>
                    </a:prstGeom>
                  </pic:spPr>
                </pic:pic>
              </a:graphicData>
            </a:graphic>
          </wp:inline>
        </w:drawing>
      </w:r>
    </w:p>
    <w:p w14:paraId="0B179C61" w14:textId="5CF4CA65" w:rsidR="00652974" w:rsidRPr="00451837" w:rsidRDefault="004C5B86" w:rsidP="00652974">
      <w:pPr>
        <w:ind w:right="254"/>
        <w:jc w:val="both"/>
        <w:rPr>
          <w:rFonts w:ascii="Century Gothic" w:hAnsi="Century Gothic"/>
          <w:b/>
          <w:bCs/>
          <w:sz w:val="22"/>
          <w:szCs w:val="22"/>
        </w:rPr>
      </w:pPr>
      <w:r>
        <w:rPr>
          <w:rFonts w:ascii="Century Gothic" w:hAnsi="Century Gothic"/>
          <w:b/>
          <w:bCs/>
          <w:sz w:val="22"/>
          <w:szCs w:val="22"/>
        </w:rPr>
        <w:t>Un fonds en euro</w:t>
      </w:r>
      <w:r w:rsidR="002D3FD4">
        <w:rPr>
          <w:rFonts w:ascii="Century Gothic" w:hAnsi="Century Gothic"/>
          <w:b/>
          <w:bCs/>
          <w:sz w:val="22"/>
          <w:szCs w:val="22"/>
        </w:rPr>
        <w:t>s</w:t>
      </w:r>
      <w:r>
        <w:rPr>
          <w:rFonts w:ascii="Century Gothic" w:hAnsi="Century Gothic"/>
          <w:b/>
          <w:bCs/>
          <w:sz w:val="22"/>
          <w:szCs w:val="22"/>
        </w:rPr>
        <w:t xml:space="preserve"> dont</w:t>
      </w:r>
      <w:r w:rsidR="000F5021">
        <w:rPr>
          <w:rFonts w:ascii="Century Gothic" w:hAnsi="Century Gothic"/>
          <w:b/>
          <w:bCs/>
          <w:sz w:val="22"/>
          <w:szCs w:val="22"/>
        </w:rPr>
        <w:t xml:space="preserve"> les réserves et</w:t>
      </w:r>
      <w:r>
        <w:rPr>
          <w:rFonts w:ascii="Century Gothic" w:hAnsi="Century Gothic"/>
          <w:b/>
          <w:bCs/>
          <w:sz w:val="22"/>
          <w:szCs w:val="22"/>
        </w:rPr>
        <w:t xml:space="preserve"> les richesses latentes permettront de générer </w:t>
      </w:r>
      <w:r w:rsidR="000F5021">
        <w:rPr>
          <w:rFonts w:ascii="Century Gothic" w:hAnsi="Century Gothic"/>
          <w:b/>
          <w:bCs/>
          <w:sz w:val="22"/>
          <w:szCs w:val="22"/>
        </w:rPr>
        <w:t xml:space="preserve">dans la durée </w:t>
      </w:r>
      <w:r w:rsidR="00124F28">
        <w:rPr>
          <w:rFonts w:ascii="Century Gothic" w:hAnsi="Century Gothic"/>
          <w:b/>
          <w:bCs/>
          <w:sz w:val="22"/>
          <w:szCs w:val="22"/>
        </w:rPr>
        <w:t>des performances</w:t>
      </w:r>
      <w:r w:rsidR="000F5021">
        <w:rPr>
          <w:rFonts w:ascii="Century Gothic" w:hAnsi="Century Gothic"/>
          <w:b/>
          <w:bCs/>
          <w:sz w:val="22"/>
          <w:szCs w:val="22"/>
        </w:rPr>
        <w:t xml:space="preserve"> pour ses adhérents</w:t>
      </w:r>
    </w:p>
    <w:p w14:paraId="1E859F95" w14:textId="77777777" w:rsidR="00D400DA" w:rsidRDefault="00D400DA" w:rsidP="00823B68">
      <w:pPr>
        <w:ind w:right="254"/>
        <w:jc w:val="both"/>
        <w:rPr>
          <w:rFonts w:ascii="Century Gothic" w:hAnsi="Century Gothic"/>
          <w:sz w:val="22"/>
          <w:szCs w:val="22"/>
        </w:rPr>
      </w:pPr>
    </w:p>
    <w:p w14:paraId="4F48225B" w14:textId="7EA746D2" w:rsidR="000F5021" w:rsidRPr="00051431" w:rsidRDefault="000F5021" w:rsidP="000F5021">
      <w:pPr>
        <w:ind w:right="254"/>
        <w:jc w:val="both"/>
        <w:rPr>
          <w:rFonts w:ascii="Century Gothic" w:hAnsi="Century Gothic"/>
          <w:sz w:val="22"/>
          <w:szCs w:val="22"/>
        </w:rPr>
      </w:pPr>
      <w:r w:rsidRPr="00051431">
        <w:rPr>
          <w:rFonts w:ascii="Century Gothic" w:hAnsi="Century Gothic"/>
          <w:sz w:val="22"/>
          <w:szCs w:val="22"/>
        </w:rPr>
        <w:t xml:space="preserve">En 2022, la </w:t>
      </w:r>
      <w:r w:rsidR="00D131AD" w:rsidRPr="00051431">
        <w:rPr>
          <w:rFonts w:ascii="Century Gothic" w:hAnsi="Century Gothic"/>
          <w:sz w:val="22"/>
          <w:szCs w:val="22"/>
        </w:rPr>
        <w:t xml:space="preserve">provision pour participation aux excédents a été dotée de </w:t>
      </w:r>
      <w:r w:rsidR="001C5CEA" w:rsidRPr="00051431">
        <w:rPr>
          <w:rFonts w:ascii="Century Gothic" w:hAnsi="Century Gothic"/>
          <w:sz w:val="22"/>
          <w:szCs w:val="22"/>
        </w:rPr>
        <w:t>3</w:t>
      </w:r>
      <w:r w:rsidR="3CFC3F30" w:rsidRPr="00051431">
        <w:rPr>
          <w:rFonts w:ascii="Century Gothic" w:hAnsi="Century Gothic"/>
          <w:sz w:val="22"/>
          <w:szCs w:val="22"/>
        </w:rPr>
        <w:t>7</w:t>
      </w:r>
      <w:r w:rsidR="00D131AD" w:rsidRPr="00051431">
        <w:rPr>
          <w:rFonts w:ascii="Century Gothic" w:hAnsi="Century Gothic"/>
          <w:sz w:val="22"/>
          <w:szCs w:val="22"/>
        </w:rPr>
        <w:t xml:space="preserve"> M€</w:t>
      </w:r>
      <w:r w:rsidR="0020119A" w:rsidRPr="00051431">
        <w:rPr>
          <w:rFonts w:ascii="Century Gothic" w:hAnsi="Century Gothic"/>
          <w:sz w:val="22"/>
          <w:szCs w:val="22"/>
        </w:rPr>
        <w:t xml:space="preserve"> pour atteindre </w:t>
      </w:r>
      <w:r w:rsidR="00365209" w:rsidRPr="00051431">
        <w:rPr>
          <w:sz w:val="22"/>
          <w:szCs w:val="22"/>
        </w:rPr>
        <w:br/>
      </w:r>
      <w:r w:rsidR="0020119A" w:rsidRPr="00051431">
        <w:rPr>
          <w:rFonts w:ascii="Century Gothic" w:hAnsi="Century Gothic"/>
          <w:sz w:val="22"/>
          <w:szCs w:val="22"/>
        </w:rPr>
        <w:t>5</w:t>
      </w:r>
      <w:r w:rsidR="004D32A3" w:rsidRPr="00051431">
        <w:rPr>
          <w:rFonts w:ascii="Century Gothic" w:hAnsi="Century Gothic"/>
          <w:sz w:val="22"/>
          <w:szCs w:val="22"/>
        </w:rPr>
        <w:t>3</w:t>
      </w:r>
      <w:r w:rsidR="00443A21" w:rsidRPr="00051431">
        <w:rPr>
          <w:rFonts w:ascii="Century Gothic" w:hAnsi="Century Gothic"/>
          <w:sz w:val="22"/>
          <w:szCs w:val="22"/>
        </w:rPr>
        <w:t>4</w:t>
      </w:r>
      <w:r w:rsidR="004D32A3" w:rsidRPr="00051431">
        <w:rPr>
          <w:rFonts w:ascii="Century Gothic" w:hAnsi="Century Gothic"/>
          <w:sz w:val="22"/>
          <w:szCs w:val="22"/>
        </w:rPr>
        <w:t xml:space="preserve"> M€, ce qui </w:t>
      </w:r>
      <w:r w:rsidR="00F7059D" w:rsidRPr="00051431">
        <w:rPr>
          <w:rFonts w:ascii="Century Gothic" w:hAnsi="Century Gothic"/>
          <w:sz w:val="22"/>
          <w:szCs w:val="22"/>
        </w:rPr>
        <w:t xml:space="preserve">constitue une réserve de rémunération de </w:t>
      </w:r>
      <w:r w:rsidR="650C2ACD" w:rsidRPr="00051431">
        <w:rPr>
          <w:rFonts w:ascii="Century Gothic" w:hAnsi="Century Gothic"/>
          <w:sz w:val="22"/>
          <w:szCs w:val="22"/>
        </w:rPr>
        <w:t>5.94</w:t>
      </w:r>
      <w:r w:rsidR="00F7059D" w:rsidRPr="00051431">
        <w:rPr>
          <w:rFonts w:ascii="Century Gothic" w:hAnsi="Century Gothic"/>
          <w:sz w:val="22"/>
          <w:szCs w:val="22"/>
        </w:rPr>
        <w:t>%.</w:t>
      </w:r>
    </w:p>
    <w:p w14:paraId="10C4F3B6" w14:textId="3FE412C6" w:rsidR="00F7059D" w:rsidRPr="00051431" w:rsidRDefault="00320E50" w:rsidP="000F5021">
      <w:pPr>
        <w:ind w:right="254"/>
        <w:jc w:val="both"/>
        <w:rPr>
          <w:rFonts w:ascii="Century Gothic" w:hAnsi="Century Gothic"/>
          <w:sz w:val="22"/>
          <w:szCs w:val="22"/>
        </w:rPr>
      </w:pPr>
      <w:r w:rsidRPr="00051431">
        <w:rPr>
          <w:rFonts w:ascii="Century Gothic" w:hAnsi="Century Gothic"/>
          <w:sz w:val="22"/>
          <w:szCs w:val="22"/>
        </w:rPr>
        <w:t>Les richesses latentes mobilisables du portefeuille</w:t>
      </w:r>
      <w:r w:rsidR="00DF1ED8" w:rsidRPr="00051431">
        <w:rPr>
          <w:rFonts w:ascii="Century Gothic" w:hAnsi="Century Gothic"/>
          <w:sz w:val="22"/>
          <w:szCs w:val="22"/>
        </w:rPr>
        <w:t xml:space="preserve"> financier et immobilier de l’actif général</w:t>
      </w:r>
      <w:r w:rsidRPr="00051431">
        <w:rPr>
          <w:rFonts w:ascii="Century Gothic" w:hAnsi="Century Gothic"/>
          <w:sz w:val="22"/>
          <w:szCs w:val="22"/>
        </w:rPr>
        <w:t xml:space="preserve"> </w:t>
      </w:r>
      <w:r w:rsidR="00B6325E" w:rsidRPr="00051431">
        <w:rPr>
          <w:rFonts w:ascii="Century Gothic" w:hAnsi="Century Gothic"/>
          <w:sz w:val="22"/>
          <w:szCs w:val="22"/>
        </w:rPr>
        <w:t>s’élèvent à</w:t>
      </w:r>
      <w:r w:rsidR="005A54A7" w:rsidRPr="00051431">
        <w:rPr>
          <w:rFonts w:ascii="Century Gothic" w:hAnsi="Century Gothic"/>
          <w:sz w:val="22"/>
          <w:szCs w:val="22"/>
        </w:rPr>
        <w:t xml:space="preserve"> </w:t>
      </w:r>
      <w:r w:rsidR="00DD1D36" w:rsidRPr="00051431">
        <w:rPr>
          <w:rFonts w:ascii="Century Gothic" w:hAnsi="Century Gothic"/>
          <w:sz w:val="22"/>
          <w:szCs w:val="22"/>
        </w:rPr>
        <w:t xml:space="preserve">890 </w:t>
      </w:r>
      <w:r w:rsidR="005A54A7" w:rsidRPr="00051431">
        <w:rPr>
          <w:rFonts w:ascii="Century Gothic" w:hAnsi="Century Gothic"/>
          <w:sz w:val="22"/>
          <w:szCs w:val="22"/>
        </w:rPr>
        <w:t xml:space="preserve">M€ </w:t>
      </w:r>
      <w:r w:rsidRPr="00051431">
        <w:rPr>
          <w:rFonts w:ascii="Century Gothic" w:hAnsi="Century Gothic"/>
          <w:sz w:val="22"/>
          <w:szCs w:val="22"/>
        </w:rPr>
        <w:t>à fin 2022</w:t>
      </w:r>
      <w:r w:rsidR="00DD1D36" w:rsidRPr="00051431">
        <w:rPr>
          <w:rFonts w:ascii="Century Gothic" w:hAnsi="Century Gothic"/>
          <w:sz w:val="22"/>
          <w:szCs w:val="22"/>
        </w:rPr>
        <w:t>.</w:t>
      </w:r>
    </w:p>
    <w:p w14:paraId="678FEC0A" w14:textId="7E132B6A" w:rsidR="0053695F" w:rsidRDefault="0053695F" w:rsidP="00823B68">
      <w:pPr>
        <w:ind w:right="254"/>
        <w:jc w:val="both"/>
        <w:rPr>
          <w:rFonts w:ascii="Century Gothic" w:hAnsi="Century Gothic"/>
          <w:sz w:val="22"/>
          <w:szCs w:val="22"/>
        </w:rPr>
      </w:pPr>
    </w:p>
    <w:p w14:paraId="2AF83AF3" w14:textId="1A415852" w:rsidR="0072141A" w:rsidRPr="00451837" w:rsidRDefault="00451837" w:rsidP="00F844E6">
      <w:pPr>
        <w:ind w:right="254"/>
        <w:rPr>
          <w:rFonts w:ascii="Century Gothic" w:hAnsi="Century Gothic"/>
          <w:b/>
          <w:bCs/>
          <w:sz w:val="22"/>
          <w:szCs w:val="22"/>
        </w:rPr>
      </w:pPr>
      <w:r w:rsidRPr="00451837">
        <w:rPr>
          <w:rFonts w:ascii="Century Gothic" w:hAnsi="Century Gothic"/>
          <w:b/>
          <w:bCs/>
          <w:sz w:val="22"/>
          <w:szCs w:val="22"/>
        </w:rPr>
        <w:t>Pourquoi choisir la Carac ?</w:t>
      </w:r>
    </w:p>
    <w:p w14:paraId="0E6275A1" w14:textId="5E1A657A" w:rsidR="0072141A" w:rsidRDefault="00451837" w:rsidP="00451837">
      <w:pPr>
        <w:pStyle w:val="Paragraphedeliste"/>
        <w:numPr>
          <w:ilvl w:val="0"/>
          <w:numId w:val="10"/>
        </w:numPr>
        <w:ind w:right="254"/>
        <w:rPr>
          <w:rFonts w:ascii="Century Gothic" w:hAnsi="Century Gothic"/>
        </w:rPr>
      </w:pPr>
      <w:r w:rsidRPr="00451837">
        <w:rPr>
          <w:rFonts w:ascii="Century Gothic" w:hAnsi="Century Gothic"/>
          <w:b/>
          <w:bCs/>
        </w:rPr>
        <w:t>Une mutuelle solide</w:t>
      </w:r>
      <w:r>
        <w:rPr>
          <w:rFonts w:ascii="Century Gothic" w:hAnsi="Century Gothic"/>
        </w:rPr>
        <w:t> : un acteur reconnu pour sa solidité financière depuis près d’un siècle. Une gestion rigoureuse du patrimoine financier de près de 3</w:t>
      </w:r>
      <w:r w:rsidR="0030127D">
        <w:rPr>
          <w:rFonts w:ascii="Century Gothic" w:hAnsi="Century Gothic"/>
        </w:rPr>
        <w:t>05</w:t>
      </w:r>
      <w:r w:rsidR="003A781B">
        <w:rPr>
          <w:rFonts w:ascii="Century Gothic" w:hAnsi="Century Gothic"/>
        </w:rPr>
        <w:t xml:space="preserve"> </w:t>
      </w:r>
      <w:r>
        <w:rPr>
          <w:rFonts w:ascii="Century Gothic" w:hAnsi="Century Gothic"/>
        </w:rPr>
        <w:t>000 adhérents</w:t>
      </w:r>
      <w:r w:rsidR="00063A7F">
        <w:rPr>
          <w:rFonts w:ascii="Century Gothic" w:hAnsi="Century Gothic"/>
        </w:rPr>
        <w:t>.</w:t>
      </w:r>
    </w:p>
    <w:p w14:paraId="4CF7BBBD" w14:textId="17F8932B" w:rsidR="00451837" w:rsidRDefault="00451837" w:rsidP="00451837">
      <w:pPr>
        <w:pStyle w:val="Paragraphedeliste"/>
        <w:numPr>
          <w:ilvl w:val="0"/>
          <w:numId w:val="10"/>
        </w:numPr>
        <w:ind w:right="254"/>
        <w:rPr>
          <w:rFonts w:ascii="Century Gothic" w:hAnsi="Century Gothic"/>
        </w:rPr>
      </w:pPr>
      <w:r w:rsidRPr="5FE29536">
        <w:rPr>
          <w:rFonts w:ascii="Century Gothic" w:hAnsi="Century Gothic"/>
          <w:b/>
          <w:bCs/>
        </w:rPr>
        <w:t>Des solutions simples et transparentes</w:t>
      </w:r>
      <w:r w:rsidRPr="5FE29536">
        <w:rPr>
          <w:rFonts w:ascii="Century Gothic" w:hAnsi="Century Gothic"/>
        </w:rPr>
        <w:t xml:space="preserve">. Des tarifs justes et un fonds en euros parmi les plus </w:t>
      </w:r>
      <w:r w:rsidRPr="4AF29C48">
        <w:rPr>
          <w:rFonts w:ascii="Century Gothic" w:hAnsi="Century Gothic"/>
        </w:rPr>
        <w:t>performants</w:t>
      </w:r>
      <w:r w:rsidRPr="5FE29536">
        <w:rPr>
          <w:rFonts w:ascii="Century Gothic" w:hAnsi="Century Gothic"/>
        </w:rPr>
        <w:t xml:space="preserve"> du marché dans la durée.</w:t>
      </w:r>
    </w:p>
    <w:p w14:paraId="0E1948DC" w14:textId="3D19D207" w:rsidR="00451837" w:rsidRDefault="00451837" w:rsidP="00451837">
      <w:pPr>
        <w:pStyle w:val="Paragraphedeliste"/>
        <w:ind w:right="254"/>
        <w:rPr>
          <w:rFonts w:ascii="Century Gothic" w:hAnsi="Century Gothic"/>
        </w:rPr>
      </w:pPr>
      <w:r>
        <w:rPr>
          <w:rFonts w:ascii="Century Gothic" w:hAnsi="Century Gothic"/>
          <w:b/>
          <w:bCs/>
        </w:rPr>
        <w:t xml:space="preserve">L’essentiel de la diversification </w:t>
      </w:r>
      <w:r w:rsidRPr="00451837">
        <w:rPr>
          <w:rFonts w:ascii="Century Gothic" w:hAnsi="Century Gothic"/>
        </w:rPr>
        <w:t xml:space="preserve">avec des unités de comptes rigoureusement sélectionnées </w:t>
      </w:r>
      <w:r>
        <w:rPr>
          <w:rFonts w:ascii="Century Gothic" w:hAnsi="Century Gothic"/>
        </w:rPr>
        <w:t>et qui répondent aux grands enjeux de notre société</w:t>
      </w:r>
      <w:r w:rsidR="0029295D">
        <w:rPr>
          <w:rFonts w:ascii="Century Gothic" w:hAnsi="Century Gothic"/>
        </w:rPr>
        <w:t xml:space="preserve">, </w:t>
      </w:r>
      <w:r w:rsidR="0029295D" w:rsidRPr="4AF29C48">
        <w:rPr>
          <w:rFonts w:ascii="Century Gothic" w:hAnsi="Century Gothic"/>
        </w:rPr>
        <w:t xml:space="preserve">avec une profonde éthique dans le choix des placements </w:t>
      </w:r>
      <w:r w:rsidR="00126DDC" w:rsidRPr="4AF29C48">
        <w:rPr>
          <w:rFonts w:ascii="Century Gothic" w:hAnsi="Century Gothic"/>
        </w:rPr>
        <w:t>intégrant une réelle dimension ESG</w:t>
      </w:r>
      <w:r w:rsidR="00126DDC">
        <w:rPr>
          <w:rFonts w:ascii="Century Gothic" w:hAnsi="Century Gothic"/>
        </w:rPr>
        <w:t>.</w:t>
      </w:r>
    </w:p>
    <w:p w14:paraId="60C62130" w14:textId="4ED55C46" w:rsidR="00A9712B" w:rsidRDefault="00451837" w:rsidP="00451837">
      <w:pPr>
        <w:pStyle w:val="Paragraphedeliste"/>
        <w:numPr>
          <w:ilvl w:val="0"/>
          <w:numId w:val="10"/>
        </w:numPr>
        <w:ind w:right="254"/>
        <w:rPr>
          <w:rFonts w:ascii="Century Gothic" w:hAnsi="Century Gothic"/>
        </w:rPr>
      </w:pPr>
      <w:r w:rsidRPr="00451837">
        <w:rPr>
          <w:rFonts w:ascii="Century Gothic" w:hAnsi="Century Gothic"/>
          <w:b/>
          <w:bCs/>
        </w:rPr>
        <w:t>Le meilleur de l’humain et du digital</w:t>
      </w:r>
      <w:r>
        <w:rPr>
          <w:rFonts w:ascii="Century Gothic" w:hAnsi="Century Gothic"/>
        </w:rPr>
        <w:t> : Le conseil et le suivi, tout en bénéficiant de 0</w:t>
      </w:r>
      <w:proofErr w:type="gramStart"/>
      <w:r>
        <w:rPr>
          <w:rFonts w:ascii="Century Gothic" w:hAnsi="Century Gothic"/>
        </w:rPr>
        <w:t>%</w:t>
      </w:r>
      <w:r w:rsidR="00D60321" w:rsidRPr="00D60321">
        <w:rPr>
          <w:rFonts w:ascii="Century Gothic" w:hAnsi="Century Gothic"/>
          <w:sz w:val="18"/>
          <w:szCs w:val="18"/>
        </w:rPr>
        <w:t>(</w:t>
      </w:r>
      <w:proofErr w:type="gramEnd"/>
      <w:r w:rsidR="00063A7F">
        <w:rPr>
          <w:rFonts w:ascii="Century Gothic" w:hAnsi="Century Gothic"/>
          <w:sz w:val="18"/>
          <w:szCs w:val="18"/>
        </w:rPr>
        <w:t>2</w:t>
      </w:r>
      <w:r w:rsidR="00D60321" w:rsidRPr="00D60321">
        <w:rPr>
          <w:rFonts w:ascii="Century Gothic" w:hAnsi="Century Gothic"/>
          <w:sz w:val="18"/>
          <w:szCs w:val="18"/>
        </w:rPr>
        <w:t>)</w:t>
      </w:r>
      <w:r w:rsidR="00D60321">
        <w:rPr>
          <w:rFonts w:ascii="Century Gothic" w:hAnsi="Century Gothic"/>
          <w:sz w:val="18"/>
          <w:szCs w:val="18"/>
        </w:rPr>
        <w:t xml:space="preserve"> </w:t>
      </w:r>
      <w:r>
        <w:rPr>
          <w:rFonts w:ascii="Century Gothic" w:hAnsi="Century Gothic"/>
        </w:rPr>
        <w:t>de</w:t>
      </w:r>
      <w:r w:rsidR="00A9712B">
        <w:rPr>
          <w:rFonts w:ascii="Century Gothic" w:hAnsi="Century Gothic"/>
        </w:rPr>
        <w:t xml:space="preserve"> frais sur versements. La proximité grâce à un réseau composé de 50 agences et 100 conseillers experts. La souplesse du digital grâce à des services en ligne (versements, prélèvements automatiques, adhésion et signature électronique).</w:t>
      </w:r>
    </w:p>
    <w:p w14:paraId="69D94B3E" w14:textId="593C787D" w:rsidR="00451837" w:rsidRDefault="00A9712B" w:rsidP="00451837">
      <w:pPr>
        <w:pStyle w:val="Paragraphedeliste"/>
        <w:numPr>
          <w:ilvl w:val="0"/>
          <w:numId w:val="10"/>
        </w:numPr>
        <w:ind w:right="254"/>
        <w:rPr>
          <w:rFonts w:ascii="Century Gothic" w:hAnsi="Century Gothic"/>
        </w:rPr>
      </w:pPr>
      <w:r>
        <w:rPr>
          <w:rFonts w:ascii="Century Gothic" w:hAnsi="Century Gothic"/>
          <w:b/>
          <w:bCs/>
        </w:rPr>
        <w:t>Une mutuelle engagée </w:t>
      </w:r>
      <w:r w:rsidR="00A53088" w:rsidRPr="001259F6">
        <w:rPr>
          <w:rFonts w:ascii="Century Gothic" w:hAnsi="Century Gothic"/>
          <w:b/>
          <w:bCs/>
        </w:rPr>
        <w:t>a</w:t>
      </w:r>
      <w:r w:rsidRPr="001259F6">
        <w:rPr>
          <w:rFonts w:ascii="Century Gothic" w:hAnsi="Century Gothic"/>
          <w:b/>
          <w:bCs/>
        </w:rPr>
        <w:t>uprès de ses adhérents</w:t>
      </w:r>
      <w:r>
        <w:rPr>
          <w:rFonts w:ascii="Century Gothic" w:hAnsi="Century Gothic"/>
        </w:rPr>
        <w:t> : sans actionnaires à rémunérer, la Carac est la propriété de ses adhérents, seuls leurs intérêts comptent.</w:t>
      </w:r>
    </w:p>
    <w:p w14:paraId="652A25FC" w14:textId="4FBBBC7B" w:rsidR="00A9712B" w:rsidRPr="00A9712B" w:rsidRDefault="00A53088" w:rsidP="00A9712B">
      <w:pPr>
        <w:pStyle w:val="Paragraphedeliste"/>
        <w:ind w:right="254"/>
        <w:rPr>
          <w:rFonts w:ascii="Century Gothic" w:hAnsi="Century Gothic"/>
        </w:rPr>
      </w:pPr>
      <w:r w:rsidRPr="001259F6">
        <w:rPr>
          <w:rFonts w:ascii="Century Gothic" w:hAnsi="Century Gothic"/>
        </w:rPr>
        <w:t>La Carac s’engage</w:t>
      </w:r>
      <w:r>
        <w:rPr>
          <w:rFonts w:ascii="Century Gothic" w:hAnsi="Century Gothic"/>
        </w:rPr>
        <w:t xml:space="preserve"> aussi a</w:t>
      </w:r>
      <w:r w:rsidR="00A9712B" w:rsidRPr="00A9712B">
        <w:rPr>
          <w:rFonts w:ascii="Century Gothic" w:hAnsi="Century Gothic"/>
        </w:rPr>
        <w:t>uprès des familles et</w:t>
      </w:r>
      <w:r>
        <w:rPr>
          <w:rFonts w:ascii="Century Gothic" w:hAnsi="Century Gothic"/>
        </w:rPr>
        <w:t xml:space="preserve"> </w:t>
      </w:r>
      <w:r w:rsidRPr="001259F6">
        <w:rPr>
          <w:rFonts w:ascii="Century Gothic" w:hAnsi="Century Gothic"/>
        </w:rPr>
        <w:t xml:space="preserve">pour </w:t>
      </w:r>
      <w:r w:rsidR="00A9712B" w:rsidRPr="001259F6">
        <w:rPr>
          <w:rFonts w:ascii="Century Gothic" w:hAnsi="Century Gothic"/>
        </w:rPr>
        <w:t>la</w:t>
      </w:r>
      <w:r w:rsidR="00A9712B" w:rsidRPr="00A9712B">
        <w:rPr>
          <w:rFonts w:ascii="Century Gothic" w:hAnsi="Century Gothic"/>
        </w:rPr>
        <w:t xml:space="preserve"> protection financière des personnes en situation de vulnérabilité.</w:t>
      </w:r>
    </w:p>
    <w:p w14:paraId="474C14FE" w14:textId="159E0911" w:rsidR="00596253" w:rsidRPr="00051431" w:rsidRDefault="00596253" w:rsidP="00596253">
      <w:pPr>
        <w:ind w:right="254"/>
        <w:jc w:val="both"/>
        <w:rPr>
          <w:rFonts w:ascii="Century Gothic" w:hAnsi="Century Gothic"/>
          <w:sz w:val="16"/>
          <w:szCs w:val="16"/>
        </w:rPr>
      </w:pPr>
      <w:r w:rsidRPr="00051431">
        <w:rPr>
          <w:rFonts w:ascii="Century Gothic" w:hAnsi="Century Gothic"/>
          <w:sz w:val="16"/>
          <w:szCs w:val="16"/>
        </w:rPr>
        <w:t xml:space="preserve">(1) voir le règlement de l’offre sur </w:t>
      </w:r>
      <w:hyperlink r:id="rId12" w:history="1">
        <w:r w:rsidRPr="00051431">
          <w:rPr>
            <w:rStyle w:val="Lienhypertexte"/>
            <w:rFonts w:ascii="Century Gothic" w:hAnsi="Century Gothic"/>
            <w:sz w:val="16"/>
            <w:szCs w:val="16"/>
          </w:rPr>
          <w:t>https://www.carac.fr/operations-promotionnelles</w:t>
        </w:r>
      </w:hyperlink>
    </w:p>
    <w:p w14:paraId="701C5A2D" w14:textId="3DD1C24B" w:rsidR="00D60321" w:rsidRPr="00D60321" w:rsidRDefault="00596253" w:rsidP="00051431">
      <w:pPr>
        <w:ind w:right="254"/>
        <w:rPr>
          <w:rFonts w:ascii="Century Gothic" w:hAnsi="Century Gothic"/>
          <w:sz w:val="16"/>
          <w:szCs w:val="16"/>
        </w:rPr>
      </w:pPr>
      <w:r w:rsidRPr="00051431">
        <w:rPr>
          <w:rFonts w:ascii="Century Gothic" w:hAnsi="Century Gothic"/>
          <w:sz w:val="16"/>
          <w:szCs w:val="16"/>
        </w:rPr>
        <w:t xml:space="preserve">(2) Frais de gestion appliqués sur l’épargne gérée sur le support Sécurité libellé en euros et sur les supports libellés en unités de compte : 0,90 % prélevés annuellement. </w:t>
      </w:r>
      <w:r w:rsidR="00051431" w:rsidRPr="00051431">
        <w:rPr>
          <w:rFonts w:ascii="Century Gothic" w:hAnsi="Century Gothic"/>
          <w:sz w:val="16"/>
          <w:szCs w:val="16"/>
        </w:rPr>
        <w:br/>
      </w:r>
      <w:r w:rsidR="00E03B8B" w:rsidRPr="00051431">
        <w:rPr>
          <w:rFonts w:ascii="Century Gothic" w:hAnsi="Century Gothic"/>
          <w:sz w:val="16"/>
          <w:szCs w:val="16"/>
        </w:rPr>
        <w:t>(</w:t>
      </w:r>
      <w:r w:rsidRPr="00051431">
        <w:rPr>
          <w:rFonts w:ascii="Century Gothic" w:hAnsi="Century Gothic"/>
          <w:sz w:val="16"/>
          <w:szCs w:val="16"/>
        </w:rPr>
        <w:t>3</w:t>
      </w:r>
      <w:r w:rsidR="00E03B8B" w:rsidRPr="00051431">
        <w:rPr>
          <w:rFonts w:ascii="Century Gothic" w:hAnsi="Century Gothic"/>
          <w:sz w:val="16"/>
          <w:szCs w:val="16"/>
        </w:rPr>
        <w:t>)</w:t>
      </w:r>
      <w:r w:rsidR="00EC1E4A" w:rsidRPr="00051431">
        <w:rPr>
          <w:rFonts w:ascii="Century Gothic" w:hAnsi="Century Gothic"/>
          <w:sz w:val="16"/>
          <w:szCs w:val="16"/>
        </w:rPr>
        <w:t xml:space="preserve"> taux net de frais de gestion et bruts de prélèvements </w:t>
      </w:r>
      <w:r w:rsidR="006258EA" w:rsidRPr="00051431">
        <w:rPr>
          <w:rFonts w:ascii="Century Gothic" w:hAnsi="Century Gothic"/>
          <w:sz w:val="16"/>
          <w:szCs w:val="16"/>
        </w:rPr>
        <w:t>sociaux</w:t>
      </w:r>
      <w:r w:rsidR="00101F8C" w:rsidRPr="00051431">
        <w:rPr>
          <w:rFonts w:ascii="Century Gothic" w:hAnsi="Century Gothic"/>
          <w:sz w:val="16"/>
          <w:szCs w:val="16"/>
        </w:rPr>
        <w:t>. Les rendements passés ne préjugent pas des rendements futurs.</w:t>
      </w:r>
      <w:r w:rsidR="00051431" w:rsidRPr="00051431">
        <w:rPr>
          <w:rFonts w:ascii="Century Gothic" w:hAnsi="Century Gothic"/>
          <w:sz w:val="16"/>
          <w:szCs w:val="16"/>
        </w:rPr>
        <w:t xml:space="preserve"> </w:t>
      </w:r>
      <w:r w:rsidR="00051431" w:rsidRPr="00051431">
        <w:rPr>
          <w:rFonts w:ascii="Century Gothic" w:hAnsi="Century Gothic"/>
          <w:sz w:val="16"/>
          <w:szCs w:val="16"/>
        </w:rPr>
        <w:br/>
      </w:r>
      <w:r w:rsidR="00E03B8B" w:rsidRPr="00051431">
        <w:rPr>
          <w:rFonts w:ascii="Century Gothic" w:hAnsi="Century Gothic"/>
          <w:sz w:val="16"/>
          <w:szCs w:val="16"/>
        </w:rPr>
        <w:t>(</w:t>
      </w:r>
      <w:r w:rsidRPr="00051431">
        <w:rPr>
          <w:rFonts w:ascii="Century Gothic" w:hAnsi="Century Gothic"/>
          <w:sz w:val="16"/>
          <w:szCs w:val="16"/>
        </w:rPr>
        <w:t>4</w:t>
      </w:r>
      <w:r w:rsidR="00E03B8B" w:rsidRPr="00051431">
        <w:rPr>
          <w:rFonts w:ascii="Century Gothic" w:hAnsi="Century Gothic"/>
          <w:sz w:val="16"/>
          <w:szCs w:val="16"/>
        </w:rPr>
        <w:t>)</w:t>
      </w:r>
      <w:r w:rsidR="00701ECE" w:rsidRPr="00051431">
        <w:rPr>
          <w:rFonts w:ascii="Century Gothic" w:hAnsi="Century Gothic"/>
          <w:sz w:val="16"/>
          <w:szCs w:val="16"/>
        </w:rPr>
        <w:t xml:space="preserve"> </w:t>
      </w:r>
      <w:r w:rsidR="00E03B8B" w:rsidRPr="00051431">
        <w:rPr>
          <w:rFonts w:ascii="Century Gothic" w:hAnsi="Century Gothic"/>
          <w:sz w:val="16"/>
          <w:szCs w:val="16"/>
        </w:rPr>
        <w:t>N</w:t>
      </w:r>
      <w:r w:rsidR="00390FBB" w:rsidRPr="00051431">
        <w:rPr>
          <w:rFonts w:ascii="Century Gothic" w:hAnsi="Century Gothic"/>
          <w:sz w:val="16"/>
          <w:szCs w:val="16"/>
        </w:rPr>
        <w:t xml:space="preserve">et de frais de gestion et brut de prélèvements sociaux et fiscaux, hors frais sur versement prévus au contrat. Les </w:t>
      </w:r>
      <w:r w:rsidR="00E52B27" w:rsidRPr="00051431">
        <w:rPr>
          <w:rFonts w:ascii="Century Gothic" w:hAnsi="Century Gothic"/>
          <w:sz w:val="16"/>
          <w:szCs w:val="16"/>
        </w:rPr>
        <w:t>rendements</w:t>
      </w:r>
      <w:r w:rsidR="00390FBB" w:rsidRPr="00051431">
        <w:rPr>
          <w:rFonts w:ascii="Century Gothic" w:hAnsi="Century Gothic"/>
          <w:sz w:val="16"/>
          <w:szCs w:val="16"/>
        </w:rPr>
        <w:t xml:space="preserve"> passés ne préjugent pas des rendem</w:t>
      </w:r>
      <w:r w:rsidR="00E52B27" w:rsidRPr="00051431">
        <w:rPr>
          <w:rFonts w:ascii="Century Gothic" w:hAnsi="Century Gothic"/>
          <w:sz w:val="16"/>
          <w:szCs w:val="16"/>
        </w:rPr>
        <w:t xml:space="preserve">ents futurs. Pour la RMC, le taux </w:t>
      </w:r>
      <w:r w:rsidR="00E32588" w:rsidRPr="00051431">
        <w:rPr>
          <w:rFonts w:ascii="Century Gothic" w:hAnsi="Century Gothic"/>
          <w:sz w:val="16"/>
          <w:szCs w:val="16"/>
        </w:rPr>
        <w:t>moyen de bonification</w:t>
      </w:r>
      <w:r w:rsidR="00E52B27" w:rsidRPr="00051431">
        <w:rPr>
          <w:rFonts w:ascii="Century Gothic" w:hAnsi="Century Gothic"/>
          <w:sz w:val="16"/>
          <w:szCs w:val="16"/>
        </w:rPr>
        <w:t xml:space="preserve"> </w:t>
      </w:r>
      <w:r w:rsidR="00E32588" w:rsidRPr="00051431">
        <w:rPr>
          <w:rFonts w:ascii="Century Gothic" w:hAnsi="Century Gothic"/>
          <w:sz w:val="16"/>
          <w:szCs w:val="16"/>
        </w:rPr>
        <w:t>est attribué pour la revalorisation des</w:t>
      </w:r>
      <w:r w:rsidR="00E32588" w:rsidRPr="00D60321">
        <w:rPr>
          <w:rFonts w:ascii="Century Gothic" w:hAnsi="Century Gothic"/>
          <w:sz w:val="16"/>
          <w:szCs w:val="16"/>
        </w:rPr>
        <w:t xml:space="preserve"> </w:t>
      </w:r>
      <w:r w:rsidR="00051431" w:rsidRPr="00D60321">
        <w:rPr>
          <w:rFonts w:ascii="Century Gothic" w:hAnsi="Century Gothic"/>
          <w:sz w:val="16"/>
          <w:szCs w:val="16"/>
        </w:rPr>
        <w:t>g</w:t>
      </w:r>
      <w:r w:rsidR="00051431">
        <w:rPr>
          <w:rFonts w:ascii="Century Gothic" w:hAnsi="Century Gothic"/>
          <w:sz w:val="16"/>
          <w:szCs w:val="16"/>
        </w:rPr>
        <w:t>a</w:t>
      </w:r>
      <w:r w:rsidR="00051431" w:rsidRPr="00D60321">
        <w:rPr>
          <w:rFonts w:ascii="Century Gothic" w:hAnsi="Century Gothic"/>
          <w:sz w:val="16"/>
          <w:szCs w:val="16"/>
        </w:rPr>
        <w:t>ranties</w:t>
      </w:r>
      <w:r w:rsidR="00E32588" w:rsidRPr="00D60321">
        <w:rPr>
          <w:rFonts w:ascii="Century Gothic" w:hAnsi="Century Gothic"/>
          <w:sz w:val="16"/>
          <w:szCs w:val="16"/>
        </w:rPr>
        <w:t xml:space="preserve"> de rente.</w:t>
      </w:r>
      <w:r w:rsidR="00853D9A">
        <w:rPr>
          <w:rFonts w:ascii="Century Gothic" w:hAnsi="Century Gothic"/>
          <w:sz w:val="16"/>
          <w:szCs w:val="16"/>
        </w:rPr>
        <w:br/>
      </w:r>
    </w:p>
    <w:p w14:paraId="24F41080" w14:textId="4229C4DC" w:rsidR="00305F87" w:rsidRPr="00E03B8B" w:rsidRDefault="00305F87" w:rsidP="00F844E6">
      <w:pPr>
        <w:ind w:right="254"/>
        <w:jc w:val="center"/>
        <w:rPr>
          <w:rFonts w:ascii="Century Gothic" w:hAnsi="Century Gothic"/>
          <w:sz w:val="20"/>
          <w:szCs w:val="20"/>
        </w:rPr>
      </w:pPr>
    </w:p>
    <w:p w14:paraId="47498A86" w14:textId="77777777" w:rsidR="00605818" w:rsidRDefault="00605818" w:rsidP="00F844E6">
      <w:pPr>
        <w:ind w:right="254"/>
        <w:jc w:val="both"/>
        <w:rPr>
          <w:rFonts w:ascii="Century Gothic" w:hAnsi="Century Gothic"/>
          <w:sz w:val="22"/>
          <w:szCs w:val="22"/>
        </w:rPr>
      </w:pPr>
    </w:p>
    <w:p w14:paraId="26CC9E21" w14:textId="77777777" w:rsidR="00305F87" w:rsidRPr="00A145D8" w:rsidRDefault="00305F87" w:rsidP="00F844E6">
      <w:pPr>
        <w:ind w:right="254"/>
        <w:jc w:val="both"/>
        <w:rPr>
          <w:rFonts w:ascii="Century Gothic" w:hAnsi="Century Gothic"/>
          <w:sz w:val="22"/>
          <w:szCs w:val="22"/>
        </w:rPr>
      </w:pPr>
    </w:p>
    <w:tbl>
      <w:tblPr>
        <w:tblStyle w:val="Grilledutableau"/>
        <w:tblW w:w="0" w:type="auto"/>
        <w:tblLook w:val="04A0" w:firstRow="1" w:lastRow="0" w:firstColumn="1" w:lastColumn="0" w:noHBand="0" w:noVBand="1"/>
      </w:tblPr>
      <w:tblGrid>
        <w:gridCol w:w="9622"/>
      </w:tblGrid>
      <w:tr w:rsidR="003333E2" w14:paraId="0E809B7C" w14:textId="77777777" w:rsidTr="003333E2">
        <w:tc>
          <w:tcPr>
            <w:tcW w:w="9622" w:type="dxa"/>
          </w:tcPr>
          <w:p w14:paraId="24137E61" w14:textId="343805F4" w:rsidR="003333E2" w:rsidRPr="00103B8B" w:rsidRDefault="003333E2" w:rsidP="00F844E6">
            <w:pPr>
              <w:ind w:right="254"/>
              <w:jc w:val="both"/>
              <w:rPr>
                <w:rFonts w:ascii="Century Gothic" w:eastAsia="Calibri" w:hAnsi="Century Gothic" w:cs="Calibri"/>
                <w:b/>
                <w:sz w:val="20"/>
                <w:szCs w:val="20"/>
              </w:rPr>
            </w:pPr>
            <w:r w:rsidRPr="00103B8B">
              <w:rPr>
                <w:rFonts w:ascii="Century Gothic" w:eastAsia="Calibri" w:hAnsi="Century Gothic" w:cs="Calibri"/>
                <w:b/>
                <w:sz w:val="20"/>
                <w:szCs w:val="20"/>
              </w:rPr>
              <w:t>La Carac</w:t>
            </w:r>
          </w:p>
          <w:p w14:paraId="1AE42615" w14:textId="77777777" w:rsidR="003333E2" w:rsidRPr="00103B8B" w:rsidRDefault="003333E2" w:rsidP="00F844E6">
            <w:pPr>
              <w:ind w:right="254"/>
              <w:jc w:val="both"/>
              <w:rPr>
                <w:rFonts w:ascii="Century Gothic" w:eastAsia="Calibri" w:hAnsi="Century Gothic" w:cs="Calibri"/>
                <w:bCs/>
                <w:sz w:val="20"/>
                <w:szCs w:val="20"/>
              </w:rPr>
            </w:pPr>
            <w:r w:rsidRPr="00103B8B">
              <w:rPr>
                <w:rFonts w:ascii="Century Gothic" w:eastAsia="Calibri" w:hAnsi="Century Gothic" w:cs="Calibri"/>
                <w:bCs/>
                <w:sz w:val="20"/>
                <w:szCs w:val="20"/>
              </w:rPr>
              <w:t>Mutuelle d’épargne, de retraite et de prévoyance à taille humaine, la Carac conçoit, gère et distribue des solutions financières qui s’adressent à toutes les personnes soucieuses de performance et d’intégrité dans la gestion de leur patrimoine. La Carac dispose d’un réseau de collaborateurs sur l’ensemble du territoire qui, grâce à leur expertise, conseillent et accompagnent les épargnants dans la durée, face aux complexités du monde financier.</w:t>
            </w:r>
          </w:p>
          <w:p w14:paraId="3D95BB1C" w14:textId="77777777" w:rsidR="003333E2" w:rsidRPr="00103B8B" w:rsidRDefault="003333E2" w:rsidP="00F844E6">
            <w:pPr>
              <w:ind w:right="254"/>
              <w:jc w:val="both"/>
              <w:rPr>
                <w:rFonts w:ascii="Century Gothic" w:eastAsia="Calibri" w:hAnsi="Century Gothic" w:cs="Calibri"/>
                <w:bCs/>
                <w:sz w:val="20"/>
                <w:szCs w:val="20"/>
              </w:rPr>
            </w:pPr>
            <w:r w:rsidRPr="00103B8B">
              <w:rPr>
                <w:rFonts w:ascii="Century Gothic" w:eastAsia="Calibri" w:hAnsi="Century Gothic" w:cs="Calibri"/>
                <w:bCs/>
                <w:sz w:val="20"/>
                <w:szCs w:val="20"/>
              </w:rPr>
              <w:t>Fière de son histoire et de sa culture mutualiste, porteuse de valeurs telles que l’engagement, la confiance, l’indépendance et la transparence, la Carac se fait un devoir d’être à la hauteur des attentes de ses adhérents. Garante de leur intérêt à la fois collectif et individuel, elle incarne un modèle avisé qui fait de ses adhérents des acteurs à part entière de la gouvernance.</w:t>
            </w:r>
          </w:p>
          <w:p w14:paraId="55A74EA3" w14:textId="77777777" w:rsidR="003333E2" w:rsidRPr="003333E2" w:rsidRDefault="003333E2" w:rsidP="00F844E6">
            <w:pPr>
              <w:pStyle w:val="NormalWeb"/>
              <w:spacing w:before="0" w:beforeAutospacing="0" w:after="0" w:afterAutospacing="0"/>
              <w:ind w:right="254"/>
              <w:jc w:val="both"/>
              <w:rPr>
                <w:rFonts w:ascii="Calibri" w:hAnsi="Calibri" w:cs="Calibri"/>
                <w:b/>
                <w:bCs/>
                <w:i/>
                <w:iCs/>
                <w:color w:val="000000" w:themeColor="text1"/>
                <w:sz w:val="20"/>
                <w:szCs w:val="20"/>
              </w:rPr>
            </w:pPr>
          </w:p>
        </w:tc>
      </w:tr>
    </w:tbl>
    <w:p w14:paraId="08592BCB" w14:textId="77777777" w:rsidR="003333E2" w:rsidRDefault="003333E2" w:rsidP="00F844E6">
      <w:pPr>
        <w:ind w:right="254"/>
        <w:jc w:val="center"/>
        <w:rPr>
          <w:rFonts w:ascii="Calibri" w:eastAsia="Calibri" w:hAnsi="Calibri" w:cs="Calibri"/>
          <w:b/>
        </w:rPr>
      </w:pPr>
    </w:p>
    <w:p w14:paraId="7DF9C86C" w14:textId="77777777" w:rsidR="00051431" w:rsidRDefault="00051431" w:rsidP="00F844E6">
      <w:pPr>
        <w:ind w:right="254"/>
        <w:jc w:val="center"/>
        <w:rPr>
          <w:rFonts w:ascii="Calibri" w:eastAsia="Calibri" w:hAnsi="Calibri" w:cs="Calibri"/>
          <w:b/>
        </w:rPr>
      </w:pPr>
    </w:p>
    <w:p w14:paraId="502A9B75" w14:textId="77777777" w:rsidR="00051431" w:rsidRDefault="00051431" w:rsidP="00F844E6">
      <w:pPr>
        <w:ind w:right="254"/>
        <w:jc w:val="center"/>
        <w:rPr>
          <w:rFonts w:ascii="Calibri" w:eastAsia="Calibri" w:hAnsi="Calibri" w:cs="Calibri"/>
          <w:b/>
        </w:rPr>
      </w:pPr>
    </w:p>
    <w:p w14:paraId="01281EF1" w14:textId="77777777" w:rsidR="00051431" w:rsidRDefault="00051431" w:rsidP="00F844E6">
      <w:pPr>
        <w:ind w:right="254"/>
        <w:jc w:val="center"/>
        <w:rPr>
          <w:rFonts w:ascii="Calibri" w:eastAsia="Calibri" w:hAnsi="Calibri" w:cs="Calibri"/>
          <w:b/>
        </w:rPr>
      </w:pPr>
    </w:p>
    <w:p w14:paraId="20B7F8C6" w14:textId="77777777" w:rsidR="00051431" w:rsidRDefault="00051431" w:rsidP="00F844E6">
      <w:pPr>
        <w:ind w:right="254"/>
        <w:jc w:val="center"/>
        <w:rPr>
          <w:rFonts w:ascii="Calibri" w:eastAsia="Calibri" w:hAnsi="Calibri" w:cs="Calibri"/>
          <w:b/>
        </w:rPr>
      </w:pPr>
    </w:p>
    <w:p w14:paraId="51048158" w14:textId="77777777" w:rsidR="00051431" w:rsidRDefault="00051431" w:rsidP="00F844E6">
      <w:pPr>
        <w:ind w:right="254"/>
        <w:jc w:val="center"/>
        <w:rPr>
          <w:rFonts w:ascii="Calibri" w:eastAsia="Calibri" w:hAnsi="Calibri" w:cs="Calibri"/>
          <w:b/>
        </w:rPr>
      </w:pPr>
    </w:p>
    <w:p w14:paraId="028C048B" w14:textId="77777777" w:rsidR="00051431" w:rsidRDefault="00051431" w:rsidP="00F844E6">
      <w:pPr>
        <w:ind w:right="254"/>
        <w:jc w:val="center"/>
        <w:rPr>
          <w:rFonts w:ascii="Calibri" w:eastAsia="Calibri" w:hAnsi="Calibri" w:cs="Calibri"/>
          <w:b/>
        </w:rPr>
      </w:pPr>
    </w:p>
    <w:p w14:paraId="4FF00B73" w14:textId="34E2F98A" w:rsidR="002919C7" w:rsidRDefault="002919C7" w:rsidP="00F844E6">
      <w:pPr>
        <w:ind w:right="254"/>
        <w:jc w:val="center"/>
        <w:rPr>
          <w:rFonts w:ascii="Calibri" w:eastAsia="Calibri" w:hAnsi="Calibri" w:cs="Calibri"/>
          <w:b/>
        </w:rPr>
      </w:pPr>
      <w:r>
        <w:rPr>
          <w:rFonts w:ascii="Calibri" w:eastAsia="Calibri" w:hAnsi="Calibri" w:cs="Calibri"/>
          <w:b/>
        </w:rPr>
        <w:t>Pour plus d’informations :</w:t>
      </w:r>
    </w:p>
    <w:p w14:paraId="46F408B4" w14:textId="77777777" w:rsidR="002919C7" w:rsidRDefault="00051431" w:rsidP="00F844E6">
      <w:pPr>
        <w:ind w:right="254"/>
        <w:jc w:val="center"/>
        <w:rPr>
          <w:rFonts w:ascii="Calibri" w:eastAsia="Calibri" w:hAnsi="Calibri" w:cs="Calibri"/>
          <w:color w:val="0000FF"/>
          <w:highlight w:val="white"/>
        </w:rPr>
      </w:pPr>
      <w:hyperlink r:id="rId13">
        <w:r w:rsidR="002919C7">
          <w:rPr>
            <w:rFonts w:ascii="Calibri" w:eastAsia="Calibri" w:hAnsi="Calibri" w:cs="Calibri"/>
            <w:color w:val="1155CC"/>
            <w:highlight w:val="white"/>
            <w:u w:val="single"/>
          </w:rPr>
          <w:t>www.carac.fr</w:t>
        </w:r>
      </w:hyperlink>
      <w:r w:rsidR="002919C7">
        <w:rPr>
          <w:rFonts w:ascii="Calibri" w:eastAsia="Calibri" w:hAnsi="Calibri" w:cs="Calibri"/>
          <w:color w:val="1155CC"/>
          <w:highlight w:val="white"/>
        </w:rPr>
        <w:t xml:space="preserve">     - </w:t>
      </w:r>
      <w:r w:rsidR="002919C7">
        <w:rPr>
          <w:rFonts w:ascii="Calibri" w:eastAsia="Calibri" w:hAnsi="Calibri" w:cs="Calibri"/>
          <w:color w:val="1155CC"/>
        </w:rPr>
        <w:t xml:space="preserve">    </w:t>
      </w:r>
      <w:hyperlink r:id="rId14">
        <w:r w:rsidR="002919C7">
          <w:rPr>
            <w:rFonts w:ascii="Calibri" w:eastAsia="Calibri" w:hAnsi="Calibri" w:cs="Calibri"/>
            <w:color w:val="1155CC"/>
            <w:highlight w:val="white"/>
            <w:u w:val="single"/>
          </w:rPr>
          <w:t>Facebook/</w:t>
        </w:r>
        <w:proofErr w:type="spellStart"/>
        <w:r w:rsidR="002919C7">
          <w:rPr>
            <w:rFonts w:ascii="Calibri" w:eastAsia="Calibri" w:hAnsi="Calibri" w:cs="Calibri"/>
            <w:color w:val="1155CC"/>
            <w:highlight w:val="white"/>
            <w:u w:val="single"/>
          </w:rPr>
          <w:t>Carac.epargne</w:t>
        </w:r>
        <w:proofErr w:type="spellEnd"/>
      </w:hyperlink>
    </w:p>
    <w:p w14:paraId="1AFEB7A3" w14:textId="77777777" w:rsidR="002919C7" w:rsidRDefault="00051431" w:rsidP="00F844E6">
      <w:pPr>
        <w:ind w:right="254"/>
        <w:jc w:val="center"/>
        <w:rPr>
          <w:rFonts w:ascii="Calibri" w:eastAsia="Calibri" w:hAnsi="Calibri" w:cs="Calibri"/>
          <w:color w:val="0000FF"/>
          <w:highlight w:val="white"/>
          <w:u w:val="single"/>
        </w:rPr>
      </w:pPr>
      <w:hyperlink r:id="rId15">
        <w:r w:rsidR="002919C7">
          <w:rPr>
            <w:rFonts w:ascii="Calibri" w:eastAsia="Calibri" w:hAnsi="Calibri" w:cs="Calibri"/>
            <w:color w:val="1155CC"/>
            <w:highlight w:val="white"/>
            <w:u w:val="single"/>
          </w:rPr>
          <w:t>Twitter/</w:t>
        </w:r>
        <w:proofErr w:type="spellStart"/>
        <w:r w:rsidR="002919C7">
          <w:rPr>
            <w:rFonts w:ascii="Calibri" w:eastAsia="Calibri" w:hAnsi="Calibri" w:cs="Calibri"/>
            <w:color w:val="1155CC"/>
            <w:highlight w:val="white"/>
            <w:u w:val="single"/>
          </w:rPr>
          <w:t>Carac_epargne</w:t>
        </w:r>
        <w:proofErr w:type="spellEnd"/>
      </w:hyperlink>
      <w:r w:rsidR="002919C7">
        <w:rPr>
          <w:rFonts w:ascii="Calibri" w:eastAsia="Calibri" w:hAnsi="Calibri" w:cs="Calibri"/>
          <w:color w:val="1155CC"/>
          <w:highlight w:val="white"/>
          <w:u w:val="single"/>
        </w:rPr>
        <w:t xml:space="preserve"> </w:t>
      </w:r>
      <w:r w:rsidR="002919C7">
        <w:rPr>
          <w:rFonts w:ascii="Calibri" w:eastAsia="Calibri" w:hAnsi="Calibri" w:cs="Calibri"/>
          <w:color w:val="1155CC"/>
          <w:highlight w:val="white"/>
        </w:rPr>
        <w:t xml:space="preserve">     </w:t>
      </w:r>
      <w:r w:rsidR="002919C7">
        <w:rPr>
          <w:rFonts w:ascii="Calibri" w:eastAsia="Calibri" w:hAnsi="Calibri" w:cs="Calibri"/>
          <w:color w:val="1155CC"/>
        </w:rPr>
        <w:t xml:space="preserve">-    </w:t>
      </w:r>
      <w:r w:rsidR="002919C7">
        <w:rPr>
          <w:rFonts w:ascii="Calibri" w:eastAsia="Calibri" w:hAnsi="Calibri" w:cs="Calibri"/>
          <w:color w:val="1155CC"/>
          <w:u w:val="single"/>
        </w:rPr>
        <w:t xml:space="preserve"> </w:t>
      </w:r>
      <w:hyperlink r:id="rId16">
        <w:proofErr w:type="spellStart"/>
        <w:r w:rsidR="002919C7">
          <w:rPr>
            <w:rFonts w:ascii="Calibri" w:eastAsia="Calibri" w:hAnsi="Calibri" w:cs="Calibri"/>
            <w:color w:val="1155CC"/>
            <w:highlight w:val="white"/>
            <w:u w:val="single"/>
          </w:rPr>
          <w:t>linkedIn</w:t>
        </w:r>
        <w:proofErr w:type="spellEnd"/>
        <w:r w:rsidR="002919C7">
          <w:rPr>
            <w:rFonts w:ascii="Calibri" w:eastAsia="Calibri" w:hAnsi="Calibri" w:cs="Calibri"/>
            <w:color w:val="1155CC"/>
            <w:highlight w:val="white"/>
            <w:u w:val="single"/>
          </w:rPr>
          <w:t>/Carac</w:t>
        </w:r>
      </w:hyperlink>
    </w:p>
    <w:tbl>
      <w:tblPr>
        <w:tblW w:w="11201" w:type="dxa"/>
        <w:tblInd w:w="-142" w:type="dxa"/>
        <w:tblLayout w:type="fixed"/>
        <w:tblLook w:val="0400" w:firstRow="0" w:lastRow="0" w:firstColumn="0" w:lastColumn="0" w:noHBand="0" w:noVBand="1"/>
      </w:tblPr>
      <w:tblGrid>
        <w:gridCol w:w="6521"/>
        <w:gridCol w:w="4680"/>
      </w:tblGrid>
      <w:tr w:rsidR="001A33A1" w14:paraId="415D7ADE" w14:textId="77777777" w:rsidTr="001A33A1">
        <w:trPr>
          <w:trHeight w:val="199"/>
        </w:trPr>
        <w:tc>
          <w:tcPr>
            <w:tcW w:w="6521" w:type="dxa"/>
            <w:shd w:val="clear" w:color="auto" w:fill="auto"/>
          </w:tcPr>
          <w:p w14:paraId="38D79E50" w14:textId="2C9A2C3F" w:rsidR="002919C7" w:rsidRDefault="002919C7" w:rsidP="007F423E">
            <w:pPr>
              <w:widowControl w:val="0"/>
              <w:pBdr>
                <w:top w:val="nil"/>
                <w:left w:val="nil"/>
                <w:bottom w:val="nil"/>
                <w:right w:val="nil"/>
                <w:between w:val="nil"/>
              </w:pBdr>
              <w:ind w:left="34" w:right="254"/>
              <w:jc w:val="both"/>
              <w:rPr>
                <w:rFonts w:ascii="Calibri" w:eastAsia="Calibri" w:hAnsi="Calibri" w:cs="Calibri"/>
                <w:b/>
                <w:color w:val="000000"/>
                <w:lang w:val="en-US"/>
              </w:rPr>
            </w:pPr>
          </w:p>
          <w:p w14:paraId="31A029A8" w14:textId="77777777" w:rsidR="00F7184C" w:rsidRPr="00DE32E6" w:rsidRDefault="00F7184C" w:rsidP="007F423E">
            <w:pPr>
              <w:widowControl w:val="0"/>
              <w:pBdr>
                <w:top w:val="nil"/>
                <w:left w:val="nil"/>
                <w:bottom w:val="nil"/>
                <w:right w:val="nil"/>
                <w:between w:val="nil"/>
              </w:pBdr>
              <w:ind w:left="34" w:right="254"/>
              <w:jc w:val="both"/>
              <w:rPr>
                <w:rFonts w:ascii="Calibri" w:eastAsia="Calibri" w:hAnsi="Calibri" w:cs="Calibri"/>
                <w:b/>
                <w:color w:val="000000"/>
                <w:lang w:val="en-US"/>
              </w:rPr>
            </w:pPr>
          </w:p>
          <w:p w14:paraId="42E14272" w14:textId="03610650" w:rsidR="002919C7" w:rsidRPr="00DE32E6" w:rsidRDefault="002919C7" w:rsidP="007F423E">
            <w:pPr>
              <w:widowControl w:val="0"/>
              <w:pBdr>
                <w:top w:val="nil"/>
                <w:left w:val="nil"/>
                <w:bottom w:val="nil"/>
                <w:right w:val="nil"/>
                <w:between w:val="nil"/>
              </w:pBdr>
              <w:ind w:left="34" w:right="254"/>
              <w:jc w:val="both"/>
              <w:rPr>
                <w:rFonts w:ascii="Calibri" w:eastAsia="Calibri" w:hAnsi="Calibri" w:cs="Calibri"/>
                <w:b/>
                <w:color w:val="000000"/>
                <w:lang w:val="en-US"/>
              </w:rPr>
            </w:pPr>
            <w:r w:rsidRPr="00DE32E6">
              <w:rPr>
                <w:rFonts w:ascii="Calibri" w:eastAsia="Calibri" w:hAnsi="Calibri" w:cs="Calibri"/>
                <w:b/>
                <w:color w:val="000000"/>
                <w:lang w:val="en-US"/>
              </w:rPr>
              <w:t xml:space="preserve">Contact </w:t>
            </w:r>
            <w:proofErr w:type="spellStart"/>
            <w:proofErr w:type="gramStart"/>
            <w:r w:rsidRPr="00DE32E6">
              <w:rPr>
                <w:rFonts w:ascii="Calibri" w:eastAsia="Calibri" w:hAnsi="Calibri" w:cs="Calibri"/>
                <w:b/>
                <w:color w:val="000000"/>
                <w:lang w:val="en-US"/>
              </w:rPr>
              <w:t>presse</w:t>
            </w:r>
            <w:proofErr w:type="spellEnd"/>
            <w:r w:rsidR="001A33A1">
              <w:rPr>
                <w:rFonts w:ascii="Calibri" w:eastAsia="Calibri" w:hAnsi="Calibri" w:cs="Calibri"/>
                <w:b/>
                <w:color w:val="000000"/>
                <w:lang w:val="en-US"/>
              </w:rPr>
              <w:t xml:space="preserve"> :</w:t>
            </w:r>
            <w:proofErr w:type="gramEnd"/>
            <w:r w:rsidRPr="00DE32E6">
              <w:rPr>
                <w:rFonts w:ascii="Calibri" w:eastAsia="Calibri" w:hAnsi="Calibri" w:cs="Calibri"/>
                <w:b/>
                <w:color w:val="000000"/>
                <w:lang w:val="en-US"/>
              </w:rPr>
              <w:t xml:space="preserve"> </w:t>
            </w:r>
            <w:r w:rsidRPr="00DE32E6">
              <w:rPr>
                <w:rFonts w:ascii="Calibri" w:eastAsia="Calibri" w:hAnsi="Calibri" w:cs="Calibri"/>
                <w:b/>
                <w:lang w:val="en-US"/>
              </w:rPr>
              <w:t>.becoming</w:t>
            </w:r>
          </w:p>
          <w:p w14:paraId="56BEF205" w14:textId="77777777" w:rsidR="002919C7" w:rsidRPr="00DE32E6" w:rsidRDefault="002919C7" w:rsidP="007F423E">
            <w:pPr>
              <w:widowControl w:val="0"/>
              <w:pBdr>
                <w:top w:val="nil"/>
                <w:left w:val="nil"/>
                <w:bottom w:val="nil"/>
                <w:right w:val="nil"/>
                <w:between w:val="nil"/>
              </w:pBdr>
              <w:ind w:left="34" w:right="254"/>
              <w:jc w:val="both"/>
              <w:rPr>
                <w:rFonts w:ascii="Calibri" w:eastAsia="Calibri" w:hAnsi="Calibri" w:cs="Calibri"/>
                <w:color w:val="000000"/>
                <w:lang w:val="en-US"/>
              </w:rPr>
            </w:pPr>
            <w:r w:rsidRPr="00DE32E6">
              <w:rPr>
                <w:rFonts w:ascii="Calibri" w:eastAsia="Calibri" w:hAnsi="Calibri" w:cs="Calibri"/>
                <w:color w:val="000000"/>
                <w:lang w:val="en-US"/>
              </w:rPr>
              <w:t>Chrystel Libert</w:t>
            </w:r>
          </w:p>
          <w:p w14:paraId="7BEC2025" w14:textId="77777777" w:rsidR="00F7184C" w:rsidRDefault="00F7184C" w:rsidP="007F423E">
            <w:pPr>
              <w:widowControl w:val="0"/>
              <w:pBdr>
                <w:top w:val="nil"/>
                <w:left w:val="nil"/>
                <w:bottom w:val="nil"/>
                <w:right w:val="nil"/>
                <w:between w:val="nil"/>
              </w:pBdr>
              <w:ind w:left="34" w:right="254"/>
              <w:jc w:val="both"/>
              <w:rPr>
                <w:rFonts w:ascii="Calibri" w:eastAsia="Calibri" w:hAnsi="Calibri" w:cs="Calibri"/>
                <w:color w:val="000000"/>
                <w:lang w:val="en-US"/>
              </w:rPr>
            </w:pPr>
            <w:proofErr w:type="spellStart"/>
            <w:r>
              <w:rPr>
                <w:rFonts w:ascii="Calibri" w:eastAsia="Calibri" w:hAnsi="Calibri" w:cs="Calibri"/>
                <w:color w:val="000000"/>
                <w:lang w:val="en-US"/>
              </w:rPr>
              <w:t>Consultante</w:t>
            </w:r>
            <w:proofErr w:type="spellEnd"/>
            <w:r>
              <w:rPr>
                <w:rFonts w:ascii="Calibri" w:eastAsia="Calibri" w:hAnsi="Calibri" w:cs="Calibri"/>
                <w:color w:val="000000"/>
                <w:lang w:val="en-US"/>
              </w:rPr>
              <w:t xml:space="preserve"> RP</w:t>
            </w:r>
          </w:p>
          <w:p w14:paraId="76578527" w14:textId="6FFA99D3" w:rsidR="002919C7" w:rsidRPr="00DE32E6" w:rsidRDefault="002919C7" w:rsidP="007F423E">
            <w:pPr>
              <w:widowControl w:val="0"/>
              <w:pBdr>
                <w:top w:val="nil"/>
                <w:left w:val="nil"/>
                <w:bottom w:val="nil"/>
                <w:right w:val="nil"/>
                <w:between w:val="nil"/>
              </w:pBdr>
              <w:ind w:left="34" w:right="254"/>
              <w:jc w:val="both"/>
              <w:rPr>
                <w:rFonts w:ascii="Calibri" w:eastAsia="Calibri" w:hAnsi="Calibri" w:cs="Calibri"/>
                <w:color w:val="000000"/>
                <w:lang w:val="en-US"/>
              </w:rPr>
            </w:pPr>
            <w:r w:rsidRPr="00DE32E6">
              <w:rPr>
                <w:rFonts w:ascii="Calibri" w:eastAsia="Calibri" w:hAnsi="Calibri" w:cs="Calibri"/>
                <w:color w:val="000000"/>
                <w:lang w:val="en-US"/>
              </w:rPr>
              <w:t>06 52 49 31 30</w:t>
            </w:r>
          </w:p>
          <w:p w14:paraId="169C131F" w14:textId="77777777" w:rsidR="002919C7" w:rsidRPr="00DE32E6" w:rsidRDefault="00051431" w:rsidP="007F423E">
            <w:pPr>
              <w:widowControl w:val="0"/>
              <w:pBdr>
                <w:top w:val="nil"/>
                <w:left w:val="nil"/>
                <w:bottom w:val="nil"/>
                <w:right w:val="nil"/>
                <w:between w:val="nil"/>
              </w:pBdr>
              <w:ind w:left="34" w:right="254"/>
              <w:jc w:val="both"/>
              <w:rPr>
                <w:rFonts w:ascii="Calibri" w:eastAsia="Calibri" w:hAnsi="Calibri" w:cs="Calibri"/>
                <w:color w:val="000000"/>
                <w:lang w:val="en-US"/>
              </w:rPr>
            </w:pPr>
            <w:hyperlink r:id="rId17">
              <w:r w:rsidR="002919C7" w:rsidRPr="00DE32E6">
                <w:rPr>
                  <w:rFonts w:ascii="Calibri" w:eastAsia="Calibri" w:hAnsi="Calibri" w:cs="Calibri"/>
                  <w:color w:val="1155CC"/>
                  <w:u w:val="single"/>
                  <w:lang w:val="en-US"/>
                </w:rPr>
                <w:t>chrystel.libert@becoming-group.com</w:t>
              </w:r>
            </w:hyperlink>
            <w:r w:rsidR="002919C7" w:rsidRPr="00DE32E6">
              <w:rPr>
                <w:rFonts w:ascii="Calibri" w:eastAsia="Calibri" w:hAnsi="Calibri" w:cs="Calibri"/>
                <w:lang w:val="en-US"/>
              </w:rPr>
              <w:t xml:space="preserve"> </w:t>
            </w:r>
          </w:p>
        </w:tc>
        <w:tc>
          <w:tcPr>
            <w:tcW w:w="4680" w:type="dxa"/>
            <w:shd w:val="clear" w:color="auto" w:fill="auto"/>
          </w:tcPr>
          <w:p w14:paraId="7C9639BD" w14:textId="686AD16B" w:rsidR="002919C7" w:rsidRPr="00F844E6" w:rsidRDefault="002919C7" w:rsidP="007F423E">
            <w:pPr>
              <w:widowControl w:val="0"/>
              <w:pBdr>
                <w:top w:val="nil"/>
                <w:left w:val="nil"/>
                <w:bottom w:val="nil"/>
                <w:right w:val="nil"/>
                <w:between w:val="nil"/>
              </w:pBdr>
              <w:ind w:left="34" w:right="254"/>
              <w:jc w:val="both"/>
              <w:rPr>
                <w:rFonts w:ascii="Calibri" w:eastAsia="Calibri" w:hAnsi="Calibri" w:cs="Calibri"/>
                <w:b/>
                <w:color w:val="000000"/>
              </w:rPr>
            </w:pPr>
          </w:p>
          <w:p w14:paraId="64F0E955" w14:textId="77777777" w:rsidR="00F7184C" w:rsidRPr="00F844E6" w:rsidRDefault="00F7184C" w:rsidP="007F423E">
            <w:pPr>
              <w:widowControl w:val="0"/>
              <w:pBdr>
                <w:top w:val="nil"/>
                <w:left w:val="nil"/>
                <w:bottom w:val="nil"/>
                <w:right w:val="nil"/>
                <w:between w:val="nil"/>
              </w:pBdr>
              <w:ind w:left="34" w:right="254"/>
              <w:jc w:val="both"/>
              <w:rPr>
                <w:rFonts w:ascii="Calibri" w:eastAsia="Calibri" w:hAnsi="Calibri" w:cs="Calibri"/>
                <w:b/>
                <w:color w:val="000000"/>
              </w:rPr>
            </w:pPr>
          </w:p>
          <w:p w14:paraId="2A3211AE" w14:textId="77777777" w:rsidR="002919C7" w:rsidRDefault="002919C7" w:rsidP="007F423E">
            <w:pPr>
              <w:widowControl w:val="0"/>
              <w:pBdr>
                <w:top w:val="nil"/>
                <w:left w:val="nil"/>
                <w:bottom w:val="nil"/>
                <w:right w:val="nil"/>
                <w:between w:val="nil"/>
              </w:pBdr>
              <w:ind w:left="34" w:right="254"/>
              <w:jc w:val="both"/>
              <w:rPr>
                <w:rFonts w:ascii="Calibri" w:eastAsia="Calibri" w:hAnsi="Calibri" w:cs="Calibri"/>
                <w:b/>
                <w:color w:val="000000"/>
              </w:rPr>
            </w:pPr>
            <w:r>
              <w:rPr>
                <w:rFonts w:ascii="Calibri" w:eastAsia="Calibri" w:hAnsi="Calibri" w:cs="Calibri"/>
                <w:b/>
                <w:color w:val="000000"/>
              </w:rPr>
              <w:t>Carac</w:t>
            </w:r>
          </w:p>
          <w:p w14:paraId="5DDD0A2A" w14:textId="3C3BE761" w:rsidR="002919C7" w:rsidRDefault="002919C7" w:rsidP="007F423E">
            <w:pPr>
              <w:widowControl w:val="0"/>
              <w:pBdr>
                <w:top w:val="nil"/>
                <w:left w:val="nil"/>
                <w:bottom w:val="nil"/>
                <w:right w:val="nil"/>
                <w:between w:val="nil"/>
              </w:pBdr>
              <w:ind w:left="34" w:right="254"/>
              <w:jc w:val="both"/>
              <w:rPr>
                <w:rFonts w:ascii="Calibri" w:eastAsia="Calibri" w:hAnsi="Calibri" w:cs="Calibri"/>
                <w:color w:val="000000"/>
              </w:rPr>
            </w:pPr>
            <w:r>
              <w:rPr>
                <w:rFonts w:ascii="Calibri" w:eastAsia="Calibri" w:hAnsi="Calibri" w:cs="Calibri"/>
                <w:color w:val="000000"/>
              </w:rPr>
              <w:t>Isabelle Genest</w:t>
            </w:r>
          </w:p>
          <w:p w14:paraId="6128568B" w14:textId="0AD0B4B4" w:rsidR="001A33A1" w:rsidRDefault="00452BA6" w:rsidP="007F423E">
            <w:pPr>
              <w:widowControl w:val="0"/>
              <w:pBdr>
                <w:top w:val="nil"/>
                <w:left w:val="nil"/>
                <w:bottom w:val="nil"/>
                <w:right w:val="nil"/>
                <w:between w:val="nil"/>
              </w:pBdr>
              <w:ind w:left="34" w:right="254"/>
              <w:jc w:val="both"/>
              <w:rPr>
                <w:rFonts w:ascii="Calibri" w:eastAsia="Calibri" w:hAnsi="Calibri" w:cs="Calibri"/>
                <w:color w:val="000000"/>
              </w:rPr>
            </w:pPr>
            <w:r>
              <w:rPr>
                <w:rFonts w:ascii="Calibri" w:eastAsia="Calibri" w:hAnsi="Calibri" w:cs="Calibri"/>
                <w:color w:val="000000"/>
              </w:rPr>
              <w:t>Directrice</w:t>
            </w:r>
            <w:r w:rsidR="001A33A1">
              <w:rPr>
                <w:rFonts w:ascii="Calibri" w:eastAsia="Calibri" w:hAnsi="Calibri" w:cs="Calibri"/>
                <w:color w:val="000000"/>
              </w:rPr>
              <w:t xml:space="preserve"> de la Communication</w:t>
            </w:r>
          </w:p>
          <w:p w14:paraId="03DBD1D1" w14:textId="77777777" w:rsidR="002919C7" w:rsidRDefault="002919C7" w:rsidP="007F423E">
            <w:pPr>
              <w:widowControl w:val="0"/>
              <w:pBdr>
                <w:top w:val="nil"/>
                <w:left w:val="nil"/>
                <w:bottom w:val="nil"/>
                <w:right w:val="nil"/>
                <w:between w:val="nil"/>
              </w:pBdr>
              <w:ind w:left="34" w:right="254"/>
              <w:jc w:val="both"/>
              <w:rPr>
                <w:rFonts w:ascii="Calibri" w:eastAsia="Calibri" w:hAnsi="Calibri" w:cs="Calibri"/>
                <w:color w:val="000000"/>
              </w:rPr>
            </w:pPr>
            <w:r>
              <w:rPr>
                <w:rFonts w:ascii="Calibri" w:eastAsia="Calibri" w:hAnsi="Calibri" w:cs="Calibri"/>
                <w:color w:val="000000"/>
              </w:rPr>
              <w:t>Tél. : 01 55 61 56 23</w:t>
            </w:r>
          </w:p>
          <w:p w14:paraId="230CE943" w14:textId="77777777" w:rsidR="002919C7" w:rsidRDefault="00051431" w:rsidP="007F423E">
            <w:pPr>
              <w:widowControl w:val="0"/>
              <w:pBdr>
                <w:top w:val="nil"/>
                <w:left w:val="nil"/>
                <w:bottom w:val="nil"/>
                <w:right w:val="nil"/>
                <w:between w:val="nil"/>
              </w:pBdr>
              <w:ind w:left="34" w:right="254"/>
              <w:jc w:val="both"/>
              <w:rPr>
                <w:rFonts w:ascii="Calibri" w:eastAsia="Calibri" w:hAnsi="Calibri" w:cs="Calibri"/>
                <w:color w:val="000000"/>
              </w:rPr>
            </w:pPr>
            <w:hyperlink r:id="rId18">
              <w:r w:rsidR="002919C7">
                <w:rPr>
                  <w:rFonts w:ascii="Calibri" w:eastAsia="Calibri" w:hAnsi="Calibri" w:cs="Calibri"/>
                  <w:color w:val="1155CC"/>
                  <w:u w:val="single"/>
                </w:rPr>
                <w:t>igenest@carac.fr</w:t>
              </w:r>
            </w:hyperlink>
            <w:r w:rsidR="002919C7">
              <w:rPr>
                <w:rFonts w:ascii="Calibri" w:eastAsia="Calibri" w:hAnsi="Calibri" w:cs="Calibri"/>
                <w:color w:val="000000"/>
              </w:rPr>
              <w:t xml:space="preserve"> </w:t>
            </w:r>
          </w:p>
        </w:tc>
      </w:tr>
    </w:tbl>
    <w:p w14:paraId="3A3F7416" w14:textId="77777777" w:rsidR="00175A7C" w:rsidRPr="006B15DE" w:rsidRDefault="00175A7C" w:rsidP="00F844E6">
      <w:pPr>
        <w:ind w:right="254"/>
        <w:rPr>
          <w:rFonts w:ascii="Century Gothic" w:hAnsi="Century Gothic"/>
        </w:rPr>
      </w:pPr>
    </w:p>
    <w:sectPr w:rsidR="00175A7C" w:rsidRPr="006B15DE" w:rsidSect="0046553B">
      <w:footerReference w:type="even" r:id="rId19"/>
      <w:footerReference w:type="default" r:id="rId20"/>
      <w:headerReference w:type="first" r:id="rId21"/>
      <w:footerReference w:type="first" r:id="rId22"/>
      <w:pgSz w:w="11900" w:h="16840"/>
      <w:pgMar w:top="720" w:right="720" w:bottom="720" w:left="720" w:header="2494"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E5C6" w14:textId="77777777" w:rsidR="00C55B27" w:rsidRDefault="00C55B27" w:rsidP="006C5971">
      <w:r>
        <w:separator/>
      </w:r>
    </w:p>
  </w:endnote>
  <w:endnote w:type="continuationSeparator" w:id="0">
    <w:p w14:paraId="259CF5D0" w14:textId="77777777" w:rsidR="00C55B27" w:rsidRDefault="00C55B27" w:rsidP="006C5971">
      <w:r>
        <w:continuationSeparator/>
      </w:r>
    </w:p>
  </w:endnote>
  <w:endnote w:type="continuationNotice" w:id="1">
    <w:p w14:paraId="364BD6B9" w14:textId="77777777" w:rsidR="00C55B27" w:rsidRDefault="00C55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own">
    <w:altName w:val="Calibri"/>
    <w:charset w:val="00"/>
    <w:family w:val="auto"/>
    <w:pitch w:val="default"/>
  </w:font>
  <w:font w:name="Helvetica Neue">
    <w:altName w:val="Sylfaen"/>
    <w:charset w:val="00"/>
    <w:family w:val="roman"/>
    <w:pitch w:val="default"/>
  </w:font>
  <w:font w:name="Times New Roman (Corps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70F0" w14:textId="77777777" w:rsidR="006B15DE" w:rsidRDefault="006B15DE" w:rsidP="00CD02F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04897425" w14:textId="77777777" w:rsidR="006B15DE" w:rsidRDefault="006B15DE" w:rsidP="006B15D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7198AC"/>
      </w:rPr>
      <w:id w:val="-730078371"/>
      <w:docPartObj>
        <w:docPartGallery w:val="Page Numbers (Bottom of Page)"/>
        <w:docPartUnique/>
      </w:docPartObj>
    </w:sdtPr>
    <w:sdtEndPr>
      <w:rPr>
        <w:rStyle w:val="Numrodepage"/>
        <w:rFonts w:ascii="Century Gothic" w:hAnsi="Century Gothic"/>
      </w:rPr>
    </w:sdtEndPr>
    <w:sdtContent>
      <w:p w14:paraId="39F6E12D" w14:textId="77777777" w:rsidR="006B15DE" w:rsidRPr="00F73B0E" w:rsidRDefault="006B15DE" w:rsidP="00F73B0E">
        <w:pPr>
          <w:pStyle w:val="Pieddepage"/>
          <w:framePr w:wrap="none" w:vAnchor="text" w:hAnchor="page" w:x="10646" w:y="656"/>
          <w:rPr>
            <w:rStyle w:val="Numrodepage"/>
            <w:rFonts w:ascii="Century Gothic" w:hAnsi="Century Gothic"/>
            <w:color w:val="7198AC"/>
          </w:rPr>
        </w:pPr>
        <w:r w:rsidRPr="00F73B0E">
          <w:rPr>
            <w:rStyle w:val="Numrodepage"/>
            <w:rFonts w:ascii="Century Gothic" w:hAnsi="Century Gothic"/>
            <w:color w:val="7198AC"/>
          </w:rPr>
          <w:fldChar w:fldCharType="begin"/>
        </w:r>
        <w:r w:rsidRPr="00F73B0E">
          <w:rPr>
            <w:rStyle w:val="Numrodepage"/>
            <w:rFonts w:ascii="Century Gothic" w:hAnsi="Century Gothic"/>
            <w:color w:val="7198AC"/>
          </w:rPr>
          <w:instrText xml:space="preserve"> PAGE </w:instrText>
        </w:r>
        <w:r w:rsidRPr="00F73B0E">
          <w:rPr>
            <w:rStyle w:val="Numrodepage"/>
            <w:rFonts w:ascii="Century Gothic" w:hAnsi="Century Gothic"/>
            <w:color w:val="7198AC"/>
          </w:rPr>
          <w:fldChar w:fldCharType="separate"/>
        </w:r>
        <w:r w:rsidRPr="00F73B0E">
          <w:rPr>
            <w:rStyle w:val="Numrodepage"/>
            <w:rFonts w:ascii="Century Gothic" w:hAnsi="Century Gothic"/>
            <w:noProof/>
            <w:color w:val="7198AC"/>
          </w:rPr>
          <w:t>1</w:t>
        </w:r>
        <w:r w:rsidRPr="00F73B0E">
          <w:rPr>
            <w:rStyle w:val="Numrodepage"/>
            <w:rFonts w:ascii="Century Gothic" w:hAnsi="Century Gothic"/>
            <w:color w:val="7198AC"/>
          </w:rPr>
          <w:fldChar w:fldCharType="end"/>
        </w:r>
      </w:p>
    </w:sdtContent>
  </w:sdt>
  <w:p w14:paraId="4F2955DC" w14:textId="77777777" w:rsidR="006C5971" w:rsidRDefault="00F73B0E" w:rsidP="006B15DE">
    <w:pPr>
      <w:pStyle w:val="Pieddepage"/>
      <w:ind w:right="360"/>
    </w:pPr>
    <w:r>
      <w:rPr>
        <w:noProof/>
      </w:rPr>
      <w:drawing>
        <wp:anchor distT="0" distB="0" distL="114300" distR="114300" simplePos="0" relativeHeight="251658241" behindDoc="0" locked="0" layoutInCell="1" allowOverlap="1" wp14:anchorId="126CBD64" wp14:editId="70AA719A">
          <wp:simplePos x="0" y="0"/>
          <wp:positionH relativeFrom="column">
            <wp:posOffset>0</wp:posOffset>
          </wp:positionH>
          <wp:positionV relativeFrom="paragraph">
            <wp:posOffset>335280</wp:posOffset>
          </wp:positionV>
          <wp:extent cx="3632200" cy="4064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3632200" cy="40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7CF2" w14:textId="77777777" w:rsidR="006B15DE" w:rsidRDefault="00F73B0E">
    <w:pPr>
      <w:pStyle w:val="Pieddepage"/>
    </w:pPr>
    <w:r>
      <w:rPr>
        <w:noProof/>
      </w:rPr>
      <w:drawing>
        <wp:anchor distT="0" distB="0" distL="114300" distR="114300" simplePos="0" relativeHeight="251658242" behindDoc="0" locked="0" layoutInCell="1" allowOverlap="1" wp14:anchorId="3C5A7A9C" wp14:editId="761E91E7">
          <wp:simplePos x="0" y="0"/>
          <wp:positionH relativeFrom="column">
            <wp:posOffset>0</wp:posOffset>
          </wp:positionH>
          <wp:positionV relativeFrom="paragraph">
            <wp:posOffset>335280</wp:posOffset>
          </wp:positionV>
          <wp:extent cx="6108700" cy="4064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a:extLst>
                      <a:ext uri="{28A0092B-C50C-407E-A947-70E740481C1C}">
                        <a14:useLocalDpi xmlns:a14="http://schemas.microsoft.com/office/drawing/2010/main" val="0"/>
                      </a:ext>
                    </a:extLst>
                  </a:blip>
                  <a:stretch>
                    <a:fillRect/>
                  </a:stretch>
                </pic:blipFill>
                <pic:spPr>
                  <a:xfrm>
                    <a:off x="0" y="0"/>
                    <a:ext cx="6108700" cy="40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F894" w14:textId="77777777" w:rsidR="00C55B27" w:rsidRDefault="00C55B27" w:rsidP="006C5971">
      <w:r>
        <w:separator/>
      </w:r>
    </w:p>
  </w:footnote>
  <w:footnote w:type="continuationSeparator" w:id="0">
    <w:p w14:paraId="6222B381" w14:textId="77777777" w:rsidR="00C55B27" w:rsidRDefault="00C55B27" w:rsidP="006C5971">
      <w:r>
        <w:continuationSeparator/>
      </w:r>
    </w:p>
  </w:footnote>
  <w:footnote w:type="continuationNotice" w:id="1">
    <w:p w14:paraId="795EFA87" w14:textId="77777777" w:rsidR="00C55B27" w:rsidRDefault="00C55B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9893" w14:textId="77777777" w:rsidR="006B15DE" w:rsidRDefault="006B15DE">
    <w:pPr>
      <w:pStyle w:val="En-tte"/>
    </w:pPr>
    <w:r w:rsidRPr="006B15DE">
      <w:rPr>
        <w:noProof/>
      </w:rPr>
      <w:drawing>
        <wp:anchor distT="0" distB="0" distL="114300" distR="114300" simplePos="0" relativeHeight="251658240" behindDoc="0" locked="0" layoutInCell="1" allowOverlap="1" wp14:anchorId="55D51DB3" wp14:editId="6BE14680">
          <wp:simplePos x="0" y="0"/>
          <wp:positionH relativeFrom="column">
            <wp:posOffset>0</wp:posOffset>
          </wp:positionH>
          <wp:positionV relativeFrom="paragraph">
            <wp:posOffset>-1075690</wp:posOffset>
          </wp:positionV>
          <wp:extent cx="1079500" cy="9906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79500" cy="990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3C4"/>
    <w:multiLevelType w:val="hybridMultilevel"/>
    <w:tmpl w:val="A04E7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0365B"/>
    <w:multiLevelType w:val="hybridMultilevel"/>
    <w:tmpl w:val="2B58400C"/>
    <w:lvl w:ilvl="0" w:tplc="7CCAD3B4">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E4201"/>
    <w:multiLevelType w:val="hybridMultilevel"/>
    <w:tmpl w:val="E2D257F4"/>
    <w:lvl w:ilvl="0" w:tplc="02D01D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DB1142"/>
    <w:multiLevelType w:val="multilevel"/>
    <w:tmpl w:val="98381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AA1A39"/>
    <w:multiLevelType w:val="hybridMultilevel"/>
    <w:tmpl w:val="3D764A62"/>
    <w:lvl w:ilvl="0" w:tplc="E4948B98">
      <w:start w:val="1"/>
      <w:numFmt w:val="bullet"/>
      <w:lvlText w:val=""/>
      <w:lvlJc w:val="left"/>
      <w:pPr>
        <w:ind w:left="720" w:hanging="360"/>
      </w:pPr>
      <w:rPr>
        <w:rFonts w:ascii="Symbol" w:hAnsi="Symbol" w:hint="default"/>
      </w:rPr>
    </w:lvl>
    <w:lvl w:ilvl="1" w:tplc="E2022982">
      <w:start w:val="1"/>
      <w:numFmt w:val="bullet"/>
      <w:lvlText w:val="o"/>
      <w:lvlJc w:val="left"/>
      <w:pPr>
        <w:ind w:left="1440" w:hanging="360"/>
      </w:pPr>
      <w:rPr>
        <w:rFonts w:ascii="Courier New" w:hAnsi="Courier New" w:hint="default"/>
      </w:rPr>
    </w:lvl>
    <w:lvl w:ilvl="2" w:tplc="B47C80A4">
      <w:start w:val="1"/>
      <w:numFmt w:val="bullet"/>
      <w:lvlText w:val=""/>
      <w:lvlJc w:val="left"/>
      <w:pPr>
        <w:ind w:left="2160" w:hanging="360"/>
      </w:pPr>
      <w:rPr>
        <w:rFonts w:ascii="Wingdings" w:hAnsi="Wingdings" w:hint="default"/>
      </w:rPr>
    </w:lvl>
    <w:lvl w:ilvl="3" w:tplc="B7F82036">
      <w:start w:val="1"/>
      <w:numFmt w:val="bullet"/>
      <w:lvlText w:val=""/>
      <w:lvlJc w:val="left"/>
      <w:pPr>
        <w:ind w:left="2880" w:hanging="360"/>
      </w:pPr>
      <w:rPr>
        <w:rFonts w:ascii="Symbol" w:hAnsi="Symbol" w:hint="default"/>
      </w:rPr>
    </w:lvl>
    <w:lvl w:ilvl="4" w:tplc="356607B6">
      <w:start w:val="1"/>
      <w:numFmt w:val="bullet"/>
      <w:lvlText w:val="o"/>
      <w:lvlJc w:val="left"/>
      <w:pPr>
        <w:ind w:left="3600" w:hanging="360"/>
      </w:pPr>
      <w:rPr>
        <w:rFonts w:ascii="Courier New" w:hAnsi="Courier New" w:hint="default"/>
      </w:rPr>
    </w:lvl>
    <w:lvl w:ilvl="5" w:tplc="2D487EE2">
      <w:start w:val="1"/>
      <w:numFmt w:val="bullet"/>
      <w:lvlText w:val=""/>
      <w:lvlJc w:val="left"/>
      <w:pPr>
        <w:ind w:left="4320" w:hanging="360"/>
      </w:pPr>
      <w:rPr>
        <w:rFonts w:ascii="Wingdings" w:hAnsi="Wingdings" w:hint="default"/>
      </w:rPr>
    </w:lvl>
    <w:lvl w:ilvl="6" w:tplc="24680080">
      <w:start w:val="1"/>
      <w:numFmt w:val="bullet"/>
      <w:lvlText w:val=""/>
      <w:lvlJc w:val="left"/>
      <w:pPr>
        <w:ind w:left="5040" w:hanging="360"/>
      </w:pPr>
      <w:rPr>
        <w:rFonts w:ascii="Symbol" w:hAnsi="Symbol" w:hint="default"/>
      </w:rPr>
    </w:lvl>
    <w:lvl w:ilvl="7" w:tplc="816A2082">
      <w:start w:val="1"/>
      <w:numFmt w:val="bullet"/>
      <w:lvlText w:val="o"/>
      <w:lvlJc w:val="left"/>
      <w:pPr>
        <w:ind w:left="5760" w:hanging="360"/>
      </w:pPr>
      <w:rPr>
        <w:rFonts w:ascii="Courier New" w:hAnsi="Courier New" w:hint="default"/>
      </w:rPr>
    </w:lvl>
    <w:lvl w:ilvl="8" w:tplc="9872D086">
      <w:start w:val="1"/>
      <w:numFmt w:val="bullet"/>
      <w:lvlText w:val=""/>
      <w:lvlJc w:val="left"/>
      <w:pPr>
        <w:ind w:left="6480" w:hanging="360"/>
      </w:pPr>
      <w:rPr>
        <w:rFonts w:ascii="Wingdings" w:hAnsi="Wingdings" w:hint="default"/>
      </w:rPr>
    </w:lvl>
  </w:abstractNum>
  <w:abstractNum w:abstractNumId="5" w15:restartNumberingAfterBreak="0">
    <w:nsid w:val="140404DF"/>
    <w:multiLevelType w:val="hybridMultilevel"/>
    <w:tmpl w:val="ADDEC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BB1130"/>
    <w:multiLevelType w:val="hybridMultilevel"/>
    <w:tmpl w:val="C9766BF2"/>
    <w:lvl w:ilvl="0" w:tplc="4AA03DF8">
      <w:numFmt w:val="bullet"/>
      <w:lvlText w:val="-"/>
      <w:lvlJc w:val="left"/>
      <w:pPr>
        <w:ind w:left="720" w:hanging="360"/>
      </w:pPr>
      <w:rPr>
        <w:rFonts w:ascii="Century Gothic" w:eastAsia="Arial Unicode MS" w:hAnsi="Century Gothic" w:cs="Arial Unicode M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EE6484"/>
    <w:multiLevelType w:val="hybridMultilevel"/>
    <w:tmpl w:val="D4D8F31A"/>
    <w:lvl w:ilvl="0" w:tplc="CB120B96">
      <w:start w:val="1"/>
      <w:numFmt w:val="decimal"/>
      <w:lvlText w:val="(%1)"/>
      <w:lvlJc w:val="left"/>
      <w:pPr>
        <w:tabs>
          <w:tab w:val="num" w:pos="720"/>
        </w:tabs>
        <w:ind w:left="720" w:hanging="360"/>
      </w:pPr>
    </w:lvl>
    <w:lvl w:ilvl="1" w:tplc="C492968A" w:tentative="1">
      <w:start w:val="1"/>
      <w:numFmt w:val="decimal"/>
      <w:lvlText w:val="(%2)"/>
      <w:lvlJc w:val="left"/>
      <w:pPr>
        <w:tabs>
          <w:tab w:val="num" w:pos="1440"/>
        </w:tabs>
        <w:ind w:left="1440" w:hanging="360"/>
      </w:pPr>
    </w:lvl>
    <w:lvl w:ilvl="2" w:tplc="9B546826" w:tentative="1">
      <w:start w:val="1"/>
      <w:numFmt w:val="decimal"/>
      <w:lvlText w:val="(%3)"/>
      <w:lvlJc w:val="left"/>
      <w:pPr>
        <w:tabs>
          <w:tab w:val="num" w:pos="2160"/>
        </w:tabs>
        <w:ind w:left="2160" w:hanging="360"/>
      </w:pPr>
    </w:lvl>
    <w:lvl w:ilvl="3" w:tplc="0B621AC8" w:tentative="1">
      <w:start w:val="1"/>
      <w:numFmt w:val="decimal"/>
      <w:lvlText w:val="(%4)"/>
      <w:lvlJc w:val="left"/>
      <w:pPr>
        <w:tabs>
          <w:tab w:val="num" w:pos="2880"/>
        </w:tabs>
        <w:ind w:left="2880" w:hanging="360"/>
      </w:pPr>
    </w:lvl>
    <w:lvl w:ilvl="4" w:tplc="BB009306" w:tentative="1">
      <w:start w:val="1"/>
      <w:numFmt w:val="decimal"/>
      <w:lvlText w:val="(%5)"/>
      <w:lvlJc w:val="left"/>
      <w:pPr>
        <w:tabs>
          <w:tab w:val="num" w:pos="3600"/>
        </w:tabs>
        <w:ind w:left="3600" w:hanging="360"/>
      </w:pPr>
    </w:lvl>
    <w:lvl w:ilvl="5" w:tplc="C8141B98" w:tentative="1">
      <w:start w:val="1"/>
      <w:numFmt w:val="decimal"/>
      <w:lvlText w:val="(%6)"/>
      <w:lvlJc w:val="left"/>
      <w:pPr>
        <w:tabs>
          <w:tab w:val="num" w:pos="4320"/>
        </w:tabs>
        <w:ind w:left="4320" w:hanging="360"/>
      </w:pPr>
    </w:lvl>
    <w:lvl w:ilvl="6" w:tplc="DD72DB76" w:tentative="1">
      <w:start w:val="1"/>
      <w:numFmt w:val="decimal"/>
      <w:lvlText w:val="(%7)"/>
      <w:lvlJc w:val="left"/>
      <w:pPr>
        <w:tabs>
          <w:tab w:val="num" w:pos="5040"/>
        </w:tabs>
        <w:ind w:left="5040" w:hanging="360"/>
      </w:pPr>
    </w:lvl>
    <w:lvl w:ilvl="7" w:tplc="E7D0AC12" w:tentative="1">
      <w:start w:val="1"/>
      <w:numFmt w:val="decimal"/>
      <w:lvlText w:val="(%8)"/>
      <w:lvlJc w:val="left"/>
      <w:pPr>
        <w:tabs>
          <w:tab w:val="num" w:pos="5760"/>
        </w:tabs>
        <w:ind w:left="5760" w:hanging="360"/>
      </w:pPr>
    </w:lvl>
    <w:lvl w:ilvl="8" w:tplc="AA529D3E" w:tentative="1">
      <w:start w:val="1"/>
      <w:numFmt w:val="decimal"/>
      <w:lvlText w:val="(%9)"/>
      <w:lvlJc w:val="left"/>
      <w:pPr>
        <w:tabs>
          <w:tab w:val="num" w:pos="6480"/>
        </w:tabs>
        <w:ind w:left="6480" w:hanging="360"/>
      </w:pPr>
    </w:lvl>
  </w:abstractNum>
  <w:abstractNum w:abstractNumId="8" w15:restartNumberingAfterBreak="0">
    <w:nsid w:val="27214A2F"/>
    <w:multiLevelType w:val="hybridMultilevel"/>
    <w:tmpl w:val="A96E605A"/>
    <w:lvl w:ilvl="0" w:tplc="9FAE6F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0254BB"/>
    <w:multiLevelType w:val="hybridMultilevel"/>
    <w:tmpl w:val="3E30353E"/>
    <w:lvl w:ilvl="0" w:tplc="56A0CA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0947B4"/>
    <w:multiLevelType w:val="hybridMultilevel"/>
    <w:tmpl w:val="52CA80E0"/>
    <w:lvl w:ilvl="0" w:tplc="A1525A1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69A232E"/>
    <w:multiLevelType w:val="hybridMultilevel"/>
    <w:tmpl w:val="80301D6E"/>
    <w:lvl w:ilvl="0" w:tplc="CE7611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5438420">
    <w:abstractNumId w:val="1"/>
  </w:num>
  <w:num w:numId="2" w16cid:durableId="458769805">
    <w:abstractNumId w:val="10"/>
  </w:num>
  <w:num w:numId="3" w16cid:durableId="168563735">
    <w:abstractNumId w:val="3"/>
  </w:num>
  <w:num w:numId="4" w16cid:durableId="1648628731">
    <w:abstractNumId w:val="2"/>
  </w:num>
  <w:num w:numId="5" w16cid:durableId="1712265713">
    <w:abstractNumId w:val="9"/>
  </w:num>
  <w:num w:numId="6" w16cid:durableId="1302154673">
    <w:abstractNumId w:val="8"/>
  </w:num>
  <w:num w:numId="7" w16cid:durableId="401488849">
    <w:abstractNumId w:val="5"/>
  </w:num>
  <w:num w:numId="8" w16cid:durableId="226234798">
    <w:abstractNumId w:val="7"/>
  </w:num>
  <w:num w:numId="9" w16cid:durableId="1592860915">
    <w:abstractNumId w:val="6"/>
  </w:num>
  <w:num w:numId="10" w16cid:durableId="83184452">
    <w:abstractNumId w:val="0"/>
  </w:num>
  <w:num w:numId="11" w16cid:durableId="705909766">
    <w:abstractNumId w:val="4"/>
  </w:num>
  <w:num w:numId="12" w16cid:durableId="19165478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71"/>
    <w:rsid w:val="00005652"/>
    <w:rsid w:val="00006952"/>
    <w:rsid w:val="00015A62"/>
    <w:rsid w:val="00030655"/>
    <w:rsid w:val="00032EF2"/>
    <w:rsid w:val="000363D4"/>
    <w:rsid w:val="00036549"/>
    <w:rsid w:val="000416EE"/>
    <w:rsid w:val="00043BFF"/>
    <w:rsid w:val="00046C22"/>
    <w:rsid w:val="00047DC9"/>
    <w:rsid w:val="00051431"/>
    <w:rsid w:val="00054AB2"/>
    <w:rsid w:val="00063A7F"/>
    <w:rsid w:val="0007502F"/>
    <w:rsid w:val="00082A4A"/>
    <w:rsid w:val="0009350D"/>
    <w:rsid w:val="00097C1C"/>
    <w:rsid w:val="000B1F21"/>
    <w:rsid w:val="000C18D9"/>
    <w:rsid w:val="000C45CD"/>
    <w:rsid w:val="000D1FAB"/>
    <w:rsid w:val="000E0F45"/>
    <w:rsid w:val="000E15D7"/>
    <w:rsid w:val="000F1F19"/>
    <w:rsid w:val="000F5021"/>
    <w:rsid w:val="00101F8C"/>
    <w:rsid w:val="00111A3A"/>
    <w:rsid w:val="00111DCC"/>
    <w:rsid w:val="0012491E"/>
    <w:rsid w:val="00124F28"/>
    <w:rsid w:val="00124FE1"/>
    <w:rsid w:val="001259F6"/>
    <w:rsid w:val="00126DDC"/>
    <w:rsid w:val="00132D55"/>
    <w:rsid w:val="001648FD"/>
    <w:rsid w:val="00171A78"/>
    <w:rsid w:val="001743BD"/>
    <w:rsid w:val="00175A7C"/>
    <w:rsid w:val="001801B0"/>
    <w:rsid w:val="00180E84"/>
    <w:rsid w:val="001841A2"/>
    <w:rsid w:val="0018710B"/>
    <w:rsid w:val="001A33A1"/>
    <w:rsid w:val="001B0460"/>
    <w:rsid w:val="001B2D64"/>
    <w:rsid w:val="001B43E2"/>
    <w:rsid w:val="001C3136"/>
    <w:rsid w:val="001C5CEA"/>
    <w:rsid w:val="001D2C31"/>
    <w:rsid w:val="001D55EF"/>
    <w:rsid w:val="001D5ACB"/>
    <w:rsid w:val="001E5FEB"/>
    <w:rsid w:val="001F6F4E"/>
    <w:rsid w:val="0020119A"/>
    <w:rsid w:val="00204625"/>
    <w:rsid w:val="00207681"/>
    <w:rsid w:val="0021597E"/>
    <w:rsid w:val="00215F11"/>
    <w:rsid w:val="002209BA"/>
    <w:rsid w:val="0022414A"/>
    <w:rsid w:val="00230AC6"/>
    <w:rsid w:val="002351E5"/>
    <w:rsid w:val="00237E9A"/>
    <w:rsid w:val="0025308C"/>
    <w:rsid w:val="00260F67"/>
    <w:rsid w:val="00265766"/>
    <w:rsid w:val="00280C60"/>
    <w:rsid w:val="0028202C"/>
    <w:rsid w:val="002919C7"/>
    <w:rsid w:val="00291A4C"/>
    <w:rsid w:val="0029295D"/>
    <w:rsid w:val="00293CCB"/>
    <w:rsid w:val="00295020"/>
    <w:rsid w:val="00296048"/>
    <w:rsid w:val="00296FB9"/>
    <w:rsid w:val="002A1EA6"/>
    <w:rsid w:val="002A3265"/>
    <w:rsid w:val="002A405F"/>
    <w:rsid w:val="002D1DA6"/>
    <w:rsid w:val="002D3FD4"/>
    <w:rsid w:val="002E5553"/>
    <w:rsid w:val="002F394C"/>
    <w:rsid w:val="0030127D"/>
    <w:rsid w:val="003035F1"/>
    <w:rsid w:val="00305F87"/>
    <w:rsid w:val="00320E50"/>
    <w:rsid w:val="003333E2"/>
    <w:rsid w:val="00337398"/>
    <w:rsid w:val="00340B08"/>
    <w:rsid w:val="00342B78"/>
    <w:rsid w:val="00356A65"/>
    <w:rsid w:val="00357BC2"/>
    <w:rsid w:val="00360C93"/>
    <w:rsid w:val="00363FF9"/>
    <w:rsid w:val="00365209"/>
    <w:rsid w:val="00367849"/>
    <w:rsid w:val="00372F7A"/>
    <w:rsid w:val="00376F91"/>
    <w:rsid w:val="00382AB1"/>
    <w:rsid w:val="00390FBB"/>
    <w:rsid w:val="00393423"/>
    <w:rsid w:val="003A323D"/>
    <w:rsid w:val="003A781B"/>
    <w:rsid w:val="003B59E0"/>
    <w:rsid w:val="003C1B9F"/>
    <w:rsid w:val="003E0FB5"/>
    <w:rsid w:val="003F09FF"/>
    <w:rsid w:val="003F35D5"/>
    <w:rsid w:val="00400D54"/>
    <w:rsid w:val="004163E8"/>
    <w:rsid w:val="0042630A"/>
    <w:rsid w:val="0042757B"/>
    <w:rsid w:val="0043026E"/>
    <w:rsid w:val="00436A6E"/>
    <w:rsid w:val="00440C95"/>
    <w:rsid w:val="00443544"/>
    <w:rsid w:val="00443A21"/>
    <w:rsid w:val="00451661"/>
    <w:rsid w:val="00451837"/>
    <w:rsid w:val="00452BA6"/>
    <w:rsid w:val="00456A1D"/>
    <w:rsid w:val="00457428"/>
    <w:rsid w:val="004603C0"/>
    <w:rsid w:val="0046177C"/>
    <w:rsid w:val="0046553B"/>
    <w:rsid w:val="00467391"/>
    <w:rsid w:val="00496549"/>
    <w:rsid w:val="004A2308"/>
    <w:rsid w:val="004A2A32"/>
    <w:rsid w:val="004A2F7D"/>
    <w:rsid w:val="004C3D12"/>
    <w:rsid w:val="004C528A"/>
    <w:rsid w:val="004C5B86"/>
    <w:rsid w:val="004D32A3"/>
    <w:rsid w:val="004F48F4"/>
    <w:rsid w:val="005052FD"/>
    <w:rsid w:val="00525BAA"/>
    <w:rsid w:val="005323F9"/>
    <w:rsid w:val="0053695F"/>
    <w:rsid w:val="005372E2"/>
    <w:rsid w:val="00543FBB"/>
    <w:rsid w:val="00551715"/>
    <w:rsid w:val="00552539"/>
    <w:rsid w:val="00555AED"/>
    <w:rsid w:val="005705A6"/>
    <w:rsid w:val="00576B96"/>
    <w:rsid w:val="00592CB5"/>
    <w:rsid w:val="00595DBB"/>
    <w:rsid w:val="00596253"/>
    <w:rsid w:val="005A1CCF"/>
    <w:rsid w:val="005A54A7"/>
    <w:rsid w:val="005A6E36"/>
    <w:rsid w:val="005B48F2"/>
    <w:rsid w:val="005B6966"/>
    <w:rsid w:val="005D048D"/>
    <w:rsid w:val="005D6756"/>
    <w:rsid w:val="005E04EE"/>
    <w:rsid w:val="005E3BCF"/>
    <w:rsid w:val="005F00A1"/>
    <w:rsid w:val="005F2BF3"/>
    <w:rsid w:val="00605818"/>
    <w:rsid w:val="006062DA"/>
    <w:rsid w:val="00607B09"/>
    <w:rsid w:val="00615564"/>
    <w:rsid w:val="00615B98"/>
    <w:rsid w:val="00624A82"/>
    <w:rsid w:val="006258EA"/>
    <w:rsid w:val="0064070A"/>
    <w:rsid w:val="00645D01"/>
    <w:rsid w:val="0064669B"/>
    <w:rsid w:val="00652974"/>
    <w:rsid w:val="006560F1"/>
    <w:rsid w:val="0066058F"/>
    <w:rsid w:val="00670C5A"/>
    <w:rsid w:val="00670ECD"/>
    <w:rsid w:val="006741AD"/>
    <w:rsid w:val="00675A92"/>
    <w:rsid w:val="00685278"/>
    <w:rsid w:val="006B15DE"/>
    <w:rsid w:val="006C078C"/>
    <w:rsid w:val="006C5971"/>
    <w:rsid w:val="006D7563"/>
    <w:rsid w:val="006E4BFB"/>
    <w:rsid w:val="006F0AD5"/>
    <w:rsid w:val="006F261A"/>
    <w:rsid w:val="006F45D2"/>
    <w:rsid w:val="00700971"/>
    <w:rsid w:val="00701ECE"/>
    <w:rsid w:val="00714ED6"/>
    <w:rsid w:val="007165F8"/>
    <w:rsid w:val="0072141A"/>
    <w:rsid w:val="007319C1"/>
    <w:rsid w:val="00742573"/>
    <w:rsid w:val="0074751A"/>
    <w:rsid w:val="00766E71"/>
    <w:rsid w:val="007701BE"/>
    <w:rsid w:val="007709BF"/>
    <w:rsid w:val="00774B5B"/>
    <w:rsid w:val="00775C50"/>
    <w:rsid w:val="007804DB"/>
    <w:rsid w:val="007828D7"/>
    <w:rsid w:val="007941BB"/>
    <w:rsid w:val="007976D9"/>
    <w:rsid w:val="007A6CAD"/>
    <w:rsid w:val="007B03F6"/>
    <w:rsid w:val="007B0433"/>
    <w:rsid w:val="007C0A5A"/>
    <w:rsid w:val="007D106A"/>
    <w:rsid w:val="007D1C2C"/>
    <w:rsid w:val="007D40A7"/>
    <w:rsid w:val="007E3C45"/>
    <w:rsid w:val="007F423E"/>
    <w:rsid w:val="007F48A3"/>
    <w:rsid w:val="00806DCA"/>
    <w:rsid w:val="00822EE8"/>
    <w:rsid w:val="00823B68"/>
    <w:rsid w:val="00842985"/>
    <w:rsid w:val="008435C7"/>
    <w:rsid w:val="00852561"/>
    <w:rsid w:val="00853D9A"/>
    <w:rsid w:val="00876438"/>
    <w:rsid w:val="00885AC3"/>
    <w:rsid w:val="00891E8D"/>
    <w:rsid w:val="008920CE"/>
    <w:rsid w:val="0089364B"/>
    <w:rsid w:val="00893A74"/>
    <w:rsid w:val="008B1CEA"/>
    <w:rsid w:val="008C3B54"/>
    <w:rsid w:val="008D0E52"/>
    <w:rsid w:val="008D641E"/>
    <w:rsid w:val="00906B74"/>
    <w:rsid w:val="00911A65"/>
    <w:rsid w:val="00912FC8"/>
    <w:rsid w:val="00923782"/>
    <w:rsid w:val="0094164A"/>
    <w:rsid w:val="00953597"/>
    <w:rsid w:val="00953E60"/>
    <w:rsid w:val="00963522"/>
    <w:rsid w:val="00965C3D"/>
    <w:rsid w:val="00967AEA"/>
    <w:rsid w:val="0097005D"/>
    <w:rsid w:val="009735E2"/>
    <w:rsid w:val="00976A3E"/>
    <w:rsid w:val="00976AD6"/>
    <w:rsid w:val="00990013"/>
    <w:rsid w:val="00990828"/>
    <w:rsid w:val="009A1ED5"/>
    <w:rsid w:val="009A7993"/>
    <w:rsid w:val="009C150A"/>
    <w:rsid w:val="009C3A60"/>
    <w:rsid w:val="009C4FB0"/>
    <w:rsid w:val="009C7595"/>
    <w:rsid w:val="009D182E"/>
    <w:rsid w:val="009D2BBB"/>
    <w:rsid w:val="009D4D38"/>
    <w:rsid w:val="009E03A3"/>
    <w:rsid w:val="009E161D"/>
    <w:rsid w:val="009E204A"/>
    <w:rsid w:val="009E4D57"/>
    <w:rsid w:val="009E5B70"/>
    <w:rsid w:val="00A01D85"/>
    <w:rsid w:val="00A0266D"/>
    <w:rsid w:val="00A145D8"/>
    <w:rsid w:val="00A26D43"/>
    <w:rsid w:val="00A26E3F"/>
    <w:rsid w:val="00A32380"/>
    <w:rsid w:val="00A37C80"/>
    <w:rsid w:val="00A428B6"/>
    <w:rsid w:val="00A453CF"/>
    <w:rsid w:val="00A52240"/>
    <w:rsid w:val="00A53088"/>
    <w:rsid w:val="00A633CF"/>
    <w:rsid w:val="00A753BC"/>
    <w:rsid w:val="00A9712B"/>
    <w:rsid w:val="00AB2502"/>
    <w:rsid w:val="00AB4850"/>
    <w:rsid w:val="00AB562B"/>
    <w:rsid w:val="00AC6854"/>
    <w:rsid w:val="00AE2D5A"/>
    <w:rsid w:val="00AE6AC2"/>
    <w:rsid w:val="00B11478"/>
    <w:rsid w:val="00B13027"/>
    <w:rsid w:val="00B1688A"/>
    <w:rsid w:val="00B609A8"/>
    <w:rsid w:val="00B6325E"/>
    <w:rsid w:val="00B74013"/>
    <w:rsid w:val="00B843C7"/>
    <w:rsid w:val="00BC2C70"/>
    <w:rsid w:val="00BC5330"/>
    <w:rsid w:val="00BC7FB3"/>
    <w:rsid w:val="00BE6A55"/>
    <w:rsid w:val="00C05DC8"/>
    <w:rsid w:val="00C0700E"/>
    <w:rsid w:val="00C11725"/>
    <w:rsid w:val="00C22EA4"/>
    <w:rsid w:val="00C25E66"/>
    <w:rsid w:val="00C36B2C"/>
    <w:rsid w:val="00C45508"/>
    <w:rsid w:val="00C4608E"/>
    <w:rsid w:val="00C47B80"/>
    <w:rsid w:val="00C51475"/>
    <w:rsid w:val="00C54622"/>
    <w:rsid w:val="00C55B27"/>
    <w:rsid w:val="00C5658B"/>
    <w:rsid w:val="00C60DA0"/>
    <w:rsid w:val="00C66CE4"/>
    <w:rsid w:val="00C76F9F"/>
    <w:rsid w:val="00C779DB"/>
    <w:rsid w:val="00C84EE1"/>
    <w:rsid w:val="00C86399"/>
    <w:rsid w:val="00C904DF"/>
    <w:rsid w:val="00C94C28"/>
    <w:rsid w:val="00CB4D51"/>
    <w:rsid w:val="00CB5344"/>
    <w:rsid w:val="00CB6BC8"/>
    <w:rsid w:val="00CC12C8"/>
    <w:rsid w:val="00CC5CD7"/>
    <w:rsid w:val="00CC71E3"/>
    <w:rsid w:val="00CD02FA"/>
    <w:rsid w:val="00CD4407"/>
    <w:rsid w:val="00CD7666"/>
    <w:rsid w:val="00CE5262"/>
    <w:rsid w:val="00CE7AC8"/>
    <w:rsid w:val="00CF4EBB"/>
    <w:rsid w:val="00D00CB8"/>
    <w:rsid w:val="00D119D4"/>
    <w:rsid w:val="00D131AD"/>
    <w:rsid w:val="00D17508"/>
    <w:rsid w:val="00D23C46"/>
    <w:rsid w:val="00D400DA"/>
    <w:rsid w:val="00D452BE"/>
    <w:rsid w:val="00D46C2D"/>
    <w:rsid w:val="00D50493"/>
    <w:rsid w:val="00D50740"/>
    <w:rsid w:val="00D60321"/>
    <w:rsid w:val="00D71A74"/>
    <w:rsid w:val="00D71EDF"/>
    <w:rsid w:val="00D867D7"/>
    <w:rsid w:val="00DA1971"/>
    <w:rsid w:val="00DB2466"/>
    <w:rsid w:val="00DB75D1"/>
    <w:rsid w:val="00DC318E"/>
    <w:rsid w:val="00DC7A03"/>
    <w:rsid w:val="00DD1D36"/>
    <w:rsid w:val="00DD46AD"/>
    <w:rsid w:val="00DF1ED8"/>
    <w:rsid w:val="00E03B8B"/>
    <w:rsid w:val="00E05375"/>
    <w:rsid w:val="00E21087"/>
    <w:rsid w:val="00E26FD1"/>
    <w:rsid w:val="00E2763E"/>
    <w:rsid w:val="00E32588"/>
    <w:rsid w:val="00E35471"/>
    <w:rsid w:val="00E40C35"/>
    <w:rsid w:val="00E41661"/>
    <w:rsid w:val="00E50581"/>
    <w:rsid w:val="00E52B27"/>
    <w:rsid w:val="00E53DF2"/>
    <w:rsid w:val="00E6266D"/>
    <w:rsid w:val="00E649E4"/>
    <w:rsid w:val="00E80F85"/>
    <w:rsid w:val="00E821A6"/>
    <w:rsid w:val="00E850AE"/>
    <w:rsid w:val="00E8728C"/>
    <w:rsid w:val="00E92690"/>
    <w:rsid w:val="00E97406"/>
    <w:rsid w:val="00EA0411"/>
    <w:rsid w:val="00EA11D4"/>
    <w:rsid w:val="00EB35E4"/>
    <w:rsid w:val="00EC0A88"/>
    <w:rsid w:val="00EC0C93"/>
    <w:rsid w:val="00EC10E1"/>
    <w:rsid w:val="00EC1E4A"/>
    <w:rsid w:val="00EC4F8A"/>
    <w:rsid w:val="00ED01A7"/>
    <w:rsid w:val="00EE22C2"/>
    <w:rsid w:val="00EE297A"/>
    <w:rsid w:val="00EE43BB"/>
    <w:rsid w:val="00EF3509"/>
    <w:rsid w:val="00EF462B"/>
    <w:rsid w:val="00F038CB"/>
    <w:rsid w:val="00F13A01"/>
    <w:rsid w:val="00F20A50"/>
    <w:rsid w:val="00F20CFB"/>
    <w:rsid w:val="00F20EE5"/>
    <w:rsid w:val="00F24EB0"/>
    <w:rsid w:val="00F54187"/>
    <w:rsid w:val="00F6007D"/>
    <w:rsid w:val="00F616CB"/>
    <w:rsid w:val="00F62F4A"/>
    <w:rsid w:val="00F64218"/>
    <w:rsid w:val="00F65DDE"/>
    <w:rsid w:val="00F7059D"/>
    <w:rsid w:val="00F7184C"/>
    <w:rsid w:val="00F72B49"/>
    <w:rsid w:val="00F73B0E"/>
    <w:rsid w:val="00F75CC5"/>
    <w:rsid w:val="00F844E6"/>
    <w:rsid w:val="00F85ADA"/>
    <w:rsid w:val="00FA0483"/>
    <w:rsid w:val="00FA0C86"/>
    <w:rsid w:val="00FA3977"/>
    <w:rsid w:val="00FA5AF2"/>
    <w:rsid w:val="00FA7175"/>
    <w:rsid w:val="00FB13D8"/>
    <w:rsid w:val="00FB3EDF"/>
    <w:rsid w:val="00FC7C7A"/>
    <w:rsid w:val="00FE0B9F"/>
    <w:rsid w:val="00FE11BD"/>
    <w:rsid w:val="00FF3D9F"/>
    <w:rsid w:val="00FF6CBC"/>
    <w:rsid w:val="0298CF34"/>
    <w:rsid w:val="0789CCFE"/>
    <w:rsid w:val="0D99FEA1"/>
    <w:rsid w:val="0E7C1930"/>
    <w:rsid w:val="1050343E"/>
    <w:rsid w:val="15BC9F78"/>
    <w:rsid w:val="1839C5F3"/>
    <w:rsid w:val="19D59654"/>
    <w:rsid w:val="1B7166B5"/>
    <w:rsid w:val="1D1630A8"/>
    <w:rsid w:val="1D819C75"/>
    <w:rsid w:val="1E251F55"/>
    <w:rsid w:val="21E0A839"/>
    <w:rsid w:val="22F894EA"/>
    <w:rsid w:val="237C789A"/>
    <w:rsid w:val="26B4195C"/>
    <w:rsid w:val="2B878A7F"/>
    <w:rsid w:val="2D235AE0"/>
    <w:rsid w:val="2E478C08"/>
    <w:rsid w:val="32216BA5"/>
    <w:rsid w:val="33765820"/>
    <w:rsid w:val="3429F04A"/>
    <w:rsid w:val="366A2CDF"/>
    <w:rsid w:val="39965B84"/>
    <w:rsid w:val="3CFC3F30"/>
    <w:rsid w:val="414BBA02"/>
    <w:rsid w:val="43CEE94B"/>
    <w:rsid w:val="47A3AD2C"/>
    <w:rsid w:val="47BAFB86"/>
    <w:rsid w:val="4AF29C48"/>
    <w:rsid w:val="4FB4D294"/>
    <w:rsid w:val="51AB4F0C"/>
    <w:rsid w:val="55D8B197"/>
    <w:rsid w:val="57E29F74"/>
    <w:rsid w:val="5FE29536"/>
    <w:rsid w:val="6315D4C9"/>
    <w:rsid w:val="63F65A13"/>
    <w:rsid w:val="64E23357"/>
    <w:rsid w:val="650C2ACD"/>
    <w:rsid w:val="65AF0A44"/>
    <w:rsid w:val="6CC53C11"/>
    <w:rsid w:val="6EDA9A36"/>
    <w:rsid w:val="700BB9CA"/>
    <w:rsid w:val="70D4DD1B"/>
    <w:rsid w:val="71E2E36B"/>
    <w:rsid w:val="723B304A"/>
    <w:rsid w:val="74B8F613"/>
    <w:rsid w:val="750F1210"/>
    <w:rsid w:val="77441E9F"/>
    <w:rsid w:val="776EBE41"/>
    <w:rsid w:val="7BEBA17C"/>
    <w:rsid w:val="7E76A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85F03"/>
  <w15:docId w15:val="{50EAA7E3-343C-4551-AECE-D3153D8F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971"/>
    <w:pPr>
      <w:tabs>
        <w:tab w:val="center" w:pos="4536"/>
        <w:tab w:val="right" w:pos="9072"/>
      </w:tabs>
    </w:pPr>
  </w:style>
  <w:style w:type="character" w:customStyle="1" w:styleId="En-tteCar">
    <w:name w:val="En-tête Car"/>
    <w:basedOn w:val="Policepardfaut"/>
    <w:link w:val="En-tte"/>
    <w:uiPriority w:val="99"/>
    <w:rsid w:val="006C5971"/>
  </w:style>
  <w:style w:type="paragraph" w:styleId="Pieddepage">
    <w:name w:val="footer"/>
    <w:basedOn w:val="Normal"/>
    <w:link w:val="PieddepageCar"/>
    <w:uiPriority w:val="99"/>
    <w:unhideWhenUsed/>
    <w:rsid w:val="006C5971"/>
    <w:pPr>
      <w:tabs>
        <w:tab w:val="center" w:pos="4536"/>
        <w:tab w:val="right" w:pos="9072"/>
      </w:tabs>
    </w:pPr>
  </w:style>
  <w:style w:type="character" w:customStyle="1" w:styleId="PieddepageCar">
    <w:name w:val="Pied de page Car"/>
    <w:basedOn w:val="Policepardfaut"/>
    <w:link w:val="Pieddepage"/>
    <w:uiPriority w:val="99"/>
    <w:rsid w:val="006C5971"/>
  </w:style>
  <w:style w:type="character" w:styleId="Numrodepage">
    <w:name w:val="page number"/>
    <w:basedOn w:val="Policepardfaut"/>
    <w:uiPriority w:val="99"/>
    <w:semiHidden/>
    <w:unhideWhenUsed/>
    <w:rsid w:val="007B03F6"/>
  </w:style>
  <w:style w:type="paragraph" w:styleId="Paragraphedeliste">
    <w:name w:val="List Paragraph"/>
    <w:basedOn w:val="Normal"/>
    <w:uiPriority w:val="34"/>
    <w:qFormat/>
    <w:rsid w:val="002919C7"/>
    <w:pPr>
      <w:spacing w:after="160" w:line="259" w:lineRule="auto"/>
      <w:ind w:left="720"/>
      <w:contextualSpacing/>
    </w:pPr>
    <w:rPr>
      <w:rFonts w:ascii="Calibri" w:eastAsia="Calibri" w:hAnsi="Calibri" w:cs="Calibri"/>
      <w:sz w:val="22"/>
      <w:szCs w:val="22"/>
      <w:lang w:eastAsia="fr-FR"/>
    </w:rPr>
  </w:style>
  <w:style w:type="paragraph" w:styleId="NormalWeb">
    <w:name w:val="Normal (Web)"/>
    <w:basedOn w:val="Normal"/>
    <w:uiPriority w:val="99"/>
    <w:unhideWhenUsed/>
    <w:rsid w:val="002919C7"/>
    <w:pPr>
      <w:spacing w:before="100" w:beforeAutospacing="1" w:after="100" w:afterAutospacing="1"/>
    </w:pPr>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976A3E"/>
    <w:rPr>
      <w:sz w:val="16"/>
      <w:szCs w:val="16"/>
    </w:rPr>
  </w:style>
  <w:style w:type="table" w:styleId="Grilledutableau">
    <w:name w:val="Table Grid"/>
    <w:basedOn w:val="TableauNormal"/>
    <w:uiPriority w:val="39"/>
    <w:rsid w:val="0033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333E2"/>
  </w:style>
  <w:style w:type="character" w:styleId="Lienhypertexte">
    <w:name w:val="Hyperlink"/>
    <w:basedOn w:val="Policepardfaut"/>
    <w:uiPriority w:val="99"/>
    <w:unhideWhenUsed/>
    <w:rsid w:val="00F72B49"/>
    <w:rPr>
      <w:color w:val="0563C1" w:themeColor="hyperlink"/>
      <w:u w:val="single"/>
    </w:rPr>
  </w:style>
  <w:style w:type="character" w:styleId="Mentionnonrsolue">
    <w:name w:val="Unresolved Mention"/>
    <w:basedOn w:val="Policepardfaut"/>
    <w:uiPriority w:val="99"/>
    <w:semiHidden/>
    <w:unhideWhenUsed/>
    <w:rsid w:val="00F72B49"/>
    <w:rPr>
      <w:color w:val="605E5C"/>
      <w:shd w:val="clear" w:color="auto" w:fill="E1DFDD"/>
    </w:rPr>
  </w:style>
  <w:style w:type="paragraph" w:styleId="Commentaire">
    <w:name w:val="annotation text"/>
    <w:basedOn w:val="Normal"/>
    <w:link w:val="CommentaireCar"/>
    <w:uiPriority w:val="99"/>
    <w:semiHidden/>
    <w:unhideWhenUsed/>
    <w:rsid w:val="005D048D"/>
    <w:rPr>
      <w:sz w:val="20"/>
      <w:szCs w:val="20"/>
    </w:rPr>
  </w:style>
  <w:style w:type="character" w:customStyle="1" w:styleId="CommentaireCar">
    <w:name w:val="Commentaire Car"/>
    <w:basedOn w:val="Policepardfaut"/>
    <w:link w:val="Commentaire"/>
    <w:uiPriority w:val="99"/>
    <w:semiHidden/>
    <w:rsid w:val="005D048D"/>
    <w:rPr>
      <w:sz w:val="20"/>
      <w:szCs w:val="20"/>
    </w:rPr>
  </w:style>
  <w:style w:type="paragraph" w:styleId="Objetducommentaire">
    <w:name w:val="annotation subject"/>
    <w:basedOn w:val="Commentaire"/>
    <w:next w:val="Commentaire"/>
    <w:link w:val="ObjetducommentaireCar"/>
    <w:uiPriority w:val="99"/>
    <w:semiHidden/>
    <w:unhideWhenUsed/>
    <w:rsid w:val="005D048D"/>
    <w:rPr>
      <w:b/>
      <w:bCs/>
    </w:rPr>
  </w:style>
  <w:style w:type="character" w:customStyle="1" w:styleId="ObjetducommentaireCar">
    <w:name w:val="Objet du commentaire Car"/>
    <w:basedOn w:val="CommentaireCar"/>
    <w:link w:val="Objetducommentaire"/>
    <w:uiPriority w:val="99"/>
    <w:semiHidden/>
    <w:rsid w:val="005D048D"/>
    <w:rPr>
      <w:b/>
      <w:bCs/>
      <w:sz w:val="20"/>
      <w:szCs w:val="20"/>
    </w:rPr>
  </w:style>
  <w:style w:type="character" w:customStyle="1" w:styleId="A18">
    <w:name w:val="A18"/>
    <w:basedOn w:val="Policepardfaut"/>
    <w:uiPriority w:val="99"/>
    <w:rsid w:val="00367849"/>
    <w:rPr>
      <w:rFonts w:ascii="Brown" w:hAnsi="Brown" w:hint="default"/>
      <w:color w:val="000000"/>
    </w:rPr>
  </w:style>
  <w:style w:type="character" w:styleId="Lienhypertextesuivivisit">
    <w:name w:val="FollowedHyperlink"/>
    <w:basedOn w:val="Policepardfaut"/>
    <w:uiPriority w:val="99"/>
    <w:semiHidden/>
    <w:unhideWhenUsed/>
    <w:rsid w:val="007F423E"/>
    <w:rPr>
      <w:color w:val="954F72" w:themeColor="followedHyperlink"/>
      <w:u w:val="single"/>
    </w:rPr>
  </w:style>
  <w:style w:type="paragraph" w:customStyle="1" w:styleId="Corps">
    <w:name w:val="Corps"/>
    <w:rsid w:val="00054AB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paragraph" w:customStyle="1" w:styleId="paragraph">
    <w:name w:val="paragraph"/>
    <w:basedOn w:val="Normal"/>
    <w:rsid w:val="00A32380"/>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A32380"/>
  </w:style>
  <w:style w:type="character" w:customStyle="1" w:styleId="eop">
    <w:name w:val="eop"/>
    <w:basedOn w:val="Policepardfaut"/>
    <w:rsid w:val="00A32380"/>
  </w:style>
  <w:style w:type="character" w:customStyle="1" w:styleId="ui-provider">
    <w:name w:val="ui-provider"/>
    <w:basedOn w:val="Policepardfaut"/>
    <w:rsid w:val="0085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518">
      <w:bodyDiv w:val="1"/>
      <w:marLeft w:val="0"/>
      <w:marRight w:val="0"/>
      <w:marTop w:val="0"/>
      <w:marBottom w:val="0"/>
      <w:divBdr>
        <w:top w:val="none" w:sz="0" w:space="0" w:color="auto"/>
        <w:left w:val="none" w:sz="0" w:space="0" w:color="auto"/>
        <w:bottom w:val="none" w:sz="0" w:space="0" w:color="auto"/>
        <w:right w:val="none" w:sz="0" w:space="0" w:color="auto"/>
      </w:divBdr>
    </w:div>
    <w:div w:id="353918909">
      <w:bodyDiv w:val="1"/>
      <w:marLeft w:val="0"/>
      <w:marRight w:val="0"/>
      <w:marTop w:val="0"/>
      <w:marBottom w:val="0"/>
      <w:divBdr>
        <w:top w:val="none" w:sz="0" w:space="0" w:color="auto"/>
        <w:left w:val="none" w:sz="0" w:space="0" w:color="auto"/>
        <w:bottom w:val="none" w:sz="0" w:space="0" w:color="auto"/>
        <w:right w:val="none" w:sz="0" w:space="0" w:color="auto"/>
      </w:divBdr>
      <w:divsChild>
        <w:div w:id="1193767630">
          <w:marLeft w:val="0"/>
          <w:marRight w:val="0"/>
          <w:marTop w:val="0"/>
          <w:marBottom w:val="0"/>
          <w:divBdr>
            <w:top w:val="none" w:sz="0" w:space="0" w:color="auto"/>
            <w:left w:val="none" w:sz="0" w:space="0" w:color="auto"/>
            <w:bottom w:val="none" w:sz="0" w:space="0" w:color="auto"/>
            <w:right w:val="none" w:sz="0" w:space="0" w:color="auto"/>
          </w:divBdr>
        </w:div>
        <w:div w:id="1466125094">
          <w:marLeft w:val="0"/>
          <w:marRight w:val="0"/>
          <w:marTop w:val="0"/>
          <w:marBottom w:val="0"/>
          <w:divBdr>
            <w:top w:val="none" w:sz="0" w:space="0" w:color="auto"/>
            <w:left w:val="none" w:sz="0" w:space="0" w:color="auto"/>
            <w:bottom w:val="none" w:sz="0" w:space="0" w:color="auto"/>
            <w:right w:val="none" w:sz="0" w:space="0" w:color="auto"/>
          </w:divBdr>
        </w:div>
        <w:div w:id="2057578141">
          <w:marLeft w:val="0"/>
          <w:marRight w:val="0"/>
          <w:marTop w:val="0"/>
          <w:marBottom w:val="0"/>
          <w:divBdr>
            <w:top w:val="none" w:sz="0" w:space="0" w:color="auto"/>
            <w:left w:val="none" w:sz="0" w:space="0" w:color="auto"/>
            <w:bottom w:val="none" w:sz="0" w:space="0" w:color="auto"/>
            <w:right w:val="none" w:sz="0" w:space="0" w:color="auto"/>
          </w:divBdr>
        </w:div>
      </w:divsChild>
    </w:div>
    <w:div w:id="601229675">
      <w:bodyDiv w:val="1"/>
      <w:marLeft w:val="0"/>
      <w:marRight w:val="0"/>
      <w:marTop w:val="0"/>
      <w:marBottom w:val="0"/>
      <w:divBdr>
        <w:top w:val="none" w:sz="0" w:space="0" w:color="auto"/>
        <w:left w:val="none" w:sz="0" w:space="0" w:color="auto"/>
        <w:bottom w:val="none" w:sz="0" w:space="0" w:color="auto"/>
        <w:right w:val="none" w:sz="0" w:space="0" w:color="auto"/>
      </w:divBdr>
    </w:div>
    <w:div w:id="797066460">
      <w:bodyDiv w:val="1"/>
      <w:marLeft w:val="0"/>
      <w:marRight w:val="0"/>
      <w:marTop w:val="0"/>
      <w:marBottom w:val="0"/>
      <w:divBdr>
        <w:top w:val="none" w:sz="0" w:space="0" w:color="auto"/>
        <w:left w:val="none" w:sz="0" w:space="0" w:color="auto"/>
        <w:bottom w:val="none" w:sz="0" w:space="0" w:color="auto"/>
        <w:right w:val="none" w:sz="0" w:space="0" w:color="auto"/>
      </w:divBdr>
    </w:div>
    <w:div w:id="1152481888">
      <w:bodyDiv w:val="1"/>
      <w:marLeft w:val="0"/>
      <w:marRight w:val="0"/>
      <w:marTop w:val="0"/>
      <w:marBottom w:val="0"/>
      <w:divBdr>
        <w:top w:val="none" w:sz="0" w:space="0" w:color="auto"/>
        <w:left w:val="none" w:sz="0" w:space="0" w:color="auto"/>
        <w:bottom w:val="none" w:sz="0" w:space="0" w:color="auto"/>
        <w:right w:val="none" w:sz="0" w:space="0" w:color="auto"/>
      </w:divBdr>
    </w:div>
    <w:div w:id="1156803293">
      <w:bodyDiv w:val="1"/>
      <w:marLeft w:val="0"/>
      <w:marRight w:val="0"/>
      <w:marTop w:val="0"/>
      <w:marBottom w:val="0"/>
      <w:divBdr>
        <w:top w:val="none" w:sz="0" w:space="0" w:color="auto"/>
        <w:left w:val="none" w:sz="0" w:space="0" w:color="auto"/>
        <w:bottom w:val="none" w:sz="0" w:space="0" w:color="auto"/>
        <w:right w:val="none" w:sz="0" w:space="0" w:color="auto"/>
      </w:divBdr>
    </w:div>
    <w:div w:id="1289123451">
      <w:bodyDiv w:val="1"/>
      <w:marLeft w:val="0"/>
      <w:marRight w:val="0"/>
      <w:marTop w:val="0"/>
      <w:marBottom w:val="0"/>
      <w:divBdr>
        <w:top w:val="none" w:sz="0" w:space="0" w:color="auto"/>
        <w:left w:val="none" w:sz="0" w:space="0" w:color="auto"/>
        <w:bottom w:val="none" w:sz="0" w:space="0" w:color="auto"/>
        <w:right w:val="none" w:sz="0" w:space="0" w:color="auto"/>
      </w:divBdr>
    </w:div>
    <w:div w:id="1371105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ac.fr" TargetMode="External"/><Relationship Id="rId18" Type="http://schemas.openxmlformats.org/officeDocument/2006/relationships/hyperlink" Target="mailto:igenest@carac.f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arac.fr/operations-promotionnelles" TargetMode="External"/><Relationship Id="rId17" Type="http://schemas.openxmlformats.org/officeDocument/2006/relationships/hyperlink" Target="mailto:chrystel.libert@becoming-group.com" TargetMode="External"/><Relationship Id="rId2" Type="http://schemas.openxmlformats.org/officeDocument/2006/relationships/customXml" Target="../customXml/item2.xml"/><Relationship Id="rId16" Type="http://schemas.openxmlformats.org/officeDocument/2006/relationships/hyperlink" Target="https://www.linkedin.com/company/carac/?originalSubdomain=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carac_epargne?ref_src=twsrc%5Egoogle%7Ctwcamp%5Eserp%7Ctwgr%5Eautho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arac.epargn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A3464FE751148BC6A32C824FFE103" ma:contentTypeVersion="2" ma:contentTypeDescription="Crée un document." ma:contentTypeScope="" ma:versionID="aa092555a932973f1ce2aa647a580580">
  <xsd:schema xmlns:xsd="http://www.w3.org/2001/XMLSchema" xmlns:xs="http://www.w3.org/2001/XMLSchema" xmlns:p="http://schemas.microsoft.com/office/2006/metadata/properties" xmlns:ns2="ec68a035-8ed6-4944-a2ef-7b987325c2d8" targetNamespace="http://schemas.microsoft.com/office/2006/metadata/properties" ma:root="true" ma:fieldsID="9c682720f23067d0f3ae83a70959e916" ns2:_="">
    <xsd:import namespace="ec68a035-8ed6-4944-a2ef-7b987325c2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8a035-8ed6-4944-a2ef-7b987325c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0D7B1-20B0-4F2B-9467-DD0BE0737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8a035-8ed6-4944-a2ef-7b987325c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653C4-0AEE-4ACD-9CB9-F1AE8F73EBCF}">
  <ds:schemaRefs>
    <ds:schemaRef ds:uri="http://schemas.microsoft.com/sharepoint/v3/contenttype/forms"/>
  </ds:schemaRefs>
</ds:datastoreItem>
</file>

<file path=customXml/itemProps3.xml><?xml version="1.0" encoding="utf-8"?>
<ds:datastoreItem xmlns:ds="http://schemas.openxmlformats.org/officeDocument/2006/customXml" ds:itemID="{D3D74B0B-5904-41BF-8DD4-A7023AD093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18B213-F63D-4A05-BCC3-988A66F2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1538</Words>
  <Characters>8463</Characters>
  <Application>Microsoft Office Word</Application>
  <DocSecurity>4</DocSecurity>
  <Lines>70</Lines>
  <Paragraphs>19</Paragraphs>
  <ScaleCrop>false</ScaleCrop>
  <Company/>
  <LinksUpToDate>false</LinksUpToDate>
  <CharactersWithSpaces>9982</CharactersWithSpaces>
  <SharedDoc>false</SharedDoc>
  <HLinks>
    <vt:vector size="42" baseType="variant">
      <vt:variant>
        <vt:i4>7012446</vt:i4>
      </vt:variant>
      <vt:variant>
        <vt:i4>18</vt:i4>
      </vt:variant>
      <vt:variant>
        <vt:i4>0</vt:i4>
      </vt:variant>
      <vt:variant>
        <vt:i4>5</vt:i4>
      </vt:variant>
      <vt:variant>
        <vt:lpwstr>mailto:igenest@carac.fr</vt:lpwstr>
      </vt:variant>
      <vt:variant>
        <vt:lpwstr/>
      </vt:variant>
      <vt:variant>
        <vt:i4>5898336</vt:i4>
      </vt:variant>
      <vt:variant>
        <vt:i4>15</vt:i4>
      </vt:variant>
      <vt:variant>
        <vt:i4>0</vt:i4>
      </vt:variant>
      <vt:variant>
        <vt:i4>5</vt:i4>
      </vt:variant>
      <vt:variant>
        <vt:lpwstr>mailto:chrystel.libert@becoming-group.com</vt:lpwstr>
      </vt:variant>
      <vt:variant>
        <vt:lpwstr/>
      </vt:variant>
      <vt:variant>
        <vt:i4>5767240</vt:i4>
      </vt:variant>
      <vt:variant>
        <vt:i4>12</vt:i4>
      </vt:variant>
      <vt:variant>
        <vt:i4>0</vt:i4>
      </vt:variant>
      <vt:variant>
        <vt:i4>5</vt:i4>
      </vt:variant>
      <vt:variant>
        <vt:lpwstr>https://www.linkedin.com/company/carac/?originalSubdomain=fr</vt:lpwstr>
      </vt:variant>
      <vt:variant>
        <vt:lpwstr/>
      </vt:variant>
      <vt:variant>
        <vt:i4>5963784</vt:i4>
      </vt:variant>
      <vt:variant>
        <vt:i4>9</vt:i4>
      </vt:variant>
      <vt:variant>
        <vt:i4>0</vt:i4>
      </vt:variant>
      <vt:variant>
        <vt:i4>5</vt:i4>
      </vt:variant>
      <vt:variant>
        <vt:lpwstr>https://twitter.com/carac_epargne?ref_src=twsrc%5Egoogle%7Ctwcamp%5Eserp%7Ctwgr%5Eauthor</vt:lpwstr>
      </vt:variant>
      <vt:variant>
        <vt:lpwstr/>
      </vt:variant>
      <vt:variant>
        <vt:i4>3276900</vt:i4>
      </vt:variant>
      <vt:variant>
        <vt:i4>6</vt:i4>
      </vt:variant>
      <vt:variant>
        <vt:i4>0</vt:i4>
      </vt:variant>
      <vt:variant>
        <vt:i4>5</vt:i4>
      </vt:variant>
      <vt:variant>
        <vt:lpwstr>https://www.facebook.com/carac.epargne/</vt:lpwstr>
      </vt:variant>
      <vt:variant>
        <vt:lpwstr/>
      </vt:variant>
      <vt:variant>
        <vt:i4>1048588</vt:i4>
      </vt:variant>
      <vt:variant>
        <vt:i4>3</vt:i4>
      </vt:variant>
      <vt:variant>
        <vt:i4>0</vt:i4>
      </vt:variant>
      <vt:variant>
        <vt:i4>5</vt:i4>
      </vt:variant>
      <vt:variant>
        <vt:lpwstr>http://www.carac.fr/</vt:lpwstr>
      </vt:variant>
      <vt:variant>
        <vt:lpwstr/>
      </vt:variant>
      <vt:variant>
        <vt:i4>3539055</vt:i4>
      </vt:variant>
      <vt:variant>
        <vt:i4>0</vt:i4>
      </vt:variant>
      <vt:variant>
        <vt:i4>0</vt:i4>
      </vt:variant>
      <vt:variant>
        <vt:i4>5</vt:i4>
      </vt:variant>
      <vt:variant>
        <vt:lpwstr>https://www.carac.fr/operations-promotionnelles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Brazeau</dc:creator>
  <cp:keywords/>
  <dc:description/>
  <cp:lastModifiedBy>Genest Isabelle</cp:lastModifiedBy>
  <cp:revision>2</cp:revision>
  <cp:lastPrinted>2023-01-26T16:18:00Z</cp:lastPrinted>
  <dcterms:created xsi:type="dcterms:W3CDTF">2023-02-03T10:12:00Z</dcterms:created>
  <dcterms:modified xsi:type="dcterms:W3CDTF">2023-02-03T10:12:00Z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0x01010063AA3464FE751148BC6A32C824FFE103</vt:lpwstr>
  </property>
</Properties>
</file>